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209 - Energy Delivery Failure Charge</w:t>
      </w:r>
    </w:p>
    <w:p>
      <w:r>
        <w:t>Comments accepted between 2024-01-12 and 2024-09-26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Notification of Anticipated Delivery Failure section (3) .</w:t>
      </w:r>
    </w:p>
    <w:p/>
    <w:p/>
    <w:p>
      <w:r>
        <w:t>03: Please supply any comments related to the Calculation of Delivery Failure Charge section (4).</w:t>
      </w:r>
    </w:p>
    <w:p/>
    <w:p/>
    <w:p>
      <w:r>
        <w:t>04: Please supply any comments related to the Dollar Limit on Delivery Failure Charges During a Forward Showing Year section (5).</w:t>
      </w:r>
    </w:p>
    <w:p/>
    <w:p/>
    <w:p>
      <w:r>
        <w:t>05: Please supply any comments related to the Allocation of Revenues from Payment of Delivery Failure Charges section (6).</w:t>
      </w:r>
    </w:p>
    <w:p/>
    <w:p/>
    <w:p>
      <w:r>
        <w:t>06: Please supply any comments related to the Waiver of an Energy Deployment Obligation section (7).</w:t>
      </w:r>
    </w:p>
    <w:p/>
    <w:p/>
    <w:p>
      <w:r>
        <w:t>07: Please supply any comments related to the Possible Expulsion for Repeated Energy Delivery Failures section (8).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