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207 - Settlement Process</w:t>
      </w:r>
    </w:p>
    <w:p>
      <w:r>
        <w:t>Comments accepted between 2024-03-14 and 2024-04-01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What Settlement Information is Posted section (3).</w:t>
      </w:r>
    </w:p>
    <w:p/>
    <w:p/>
    <w:p>
      <w:r>
        <w:t>03: Please supply any comments related to the How Settlement Information is Accessed section (4).</w:t>
      </w:r>
    </w:p>
    <w:p/>
    <w:p/>
    <w:p>
      <w:r>
        <w:t>04: Please supply any comments related to the Timeline section (5).</w:t>
      </w:r>
    </w:p>
    <w:p/>
    <w:p/>
    <w:p>
      <w:r>
        <w:t>05: Please supply any comments related to the Timeline - Unavailability of external Input Data section (5.1).</w:t>
      </w:r>
    </w:p>
    <w:p/>
    <w:p/>
    <w:p>
      <w:r>
        <w:t>06: Please supply any comments related to the Timeline - Changes to Inputs after Settlement Values have been Calculated section (5.2).</w:t>
      </w:r>
    </w:p>
    <w:p/>
    <w:p/>
    <w:p>
      <w:r>
        <w:t>07: Please supply any comments related to the Dispute Resolution Process section (6).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