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143000" cy="98790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022WR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987903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pPr>
        <w:pStyle w:val="Heading1"/>
      </w:pPr>
      <w:r>
        <w:t>2026-EP-05 (CCH By Subregion)</w:t>
      </w:r>
    </w:p>
    <w:p>
      <w:r>
        <w:t>Comments accepted between 2026-09-10 and 2026-09-24</w:t>
      </w:r>
    </w:p>
    <w:p/>
    <w:p>
      <w:r>
        <w:t>Please supply any comments related to the proposed changes in BPM 104 - Capacity Critical Hours</w:t>
      </w:r>
    </w:p>
    <w:p/>
    <w:p/>
    <w:p>
      <w:r>
        <w:t>Please supply any comments related to the proposed changes in BPM 108 - Forward Showing Submittal Process</w:t>
      </w:r>
    </w:p>
    <w:p/>
    <w:p/>
    <w:p>
      <w:r>
        <w:t>Please supply any comments related to the proposed changes in the WRAP Tariff</w:t>
      </w:r>
    </w:p>
    <w:p/>
    <w:p/>
    <w:p>
      <w:r>
        <w:t>General Comment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