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COSR Comment: Day Ahead Market Task Force Proposal - 2025 PRC Workplan Task Force 04</w:t>
      </w:r>
    </w:p>
    <w:p>
      <w:r>
        <w:t>Comments accepted between 2026-10-09 and 2026-10-23</w:t>
      </w:r>
    </w:p>
    <w:p/>
    <w:p>
      <w:r>
        <w:t>Please provide any comments related to the proposed changes in BPM 201</w:t>
      </w:r>
    </w:p>
    <w:p/>
    <w:p/>
    <w:p>
      <w:r>
        <w:t>Please provide any comments related to the proposed changes in BPM 202</w:t>
      </w:r>
    </w:p>
    <w:p/>
    <w:p/>
    <w:p>
      <w:r>
        <w:t>Please provide any comments related to the proposed changes in BPM 205</w:t>
      </w:r>
    </w:p>
    <w:p/>
    <w:p/>
    <w:p>
      <w:r>
        <w:t>Please provide any comments related to the proposed changes in BPM 206</w:t>
      </w:r>
    </w:p>
    <w:p/>
    <w:p/>
    <w:p>
      <w:r>
        <w:t>Please provide any comments related to the proposed changes in BPM 209</w:t>
      </w:r>
    </w:p>
    <w:p/>
    <w:p/>
    <w:p>
      <w:r>
        <w:t>Please provide any comments related to the proposed changes in the WRAP Tariff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