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376D5" w14:textId="7220C86C" w:rsidR="00044940" w:rsidRDefault="00044940" w:rsidP="00044940"/>
    <w:p w14:paraId="28F29343" w14:textId="1E5EB7B7" w:rsidR="00044940" w:rsidRDefault="00044940" w:rsidP="00044940"/>
    <w:p w14:paraId="508472E7" w14:textId="32BA99C2" w:rsidR="00AF6D5E" w:rsidRDefault="00AF6D5E" w:rsidP="00044940">
      <w:pPr>
        <w:jc w:val="center"/>
        <w:rPr>
          <w:rFonts w:asciiTheme="majorHAnsi" w:hAnsiTheme="majorHAnsi"/>
          <w:sz w:val="40"/>
          <w:szCs w:val="40"/>
        </w:rPr>
      </w:pPr>
      <w:r>
        <w:rPr>
          <w:noProof/>
        </w:rPr>
        <w:drawing>
          <wp:anchor distT="0" distB="0" distL="114300" distR="114300" simplePos="0" relativeHeight="251658241" behindDoc="0" locked="0" layoutInCell="1" allowOverlap="1" wp14:anchorId="32660BF7" wp14:editId="6E05F637">
            <wp:simplePos x="0" y="0"/>
            <wp:positionH relativeFrom="margin">
              <wp:align>center</wp:align>
            </wp:positionH>
            <wp:positionV relativeFrom="paragraph">
              <wp:posOffset>662940</wp:posOffset>
            </wp:positionV>
            <wp:extent cx="3124200" cy="2700020"/>
            <wp:effectExtent l="0" t="0" r="0" b="0"/>
            <wp:wrapTopAndBottom/>
            <wp:docPr id="527962462" name="Picture 6"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153884" name="Picture 6" descr="A logo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4200" cy="2700020"/>
                    </a:xfrm>
                    <a:prstGeom prst="rect">
                      <a:avLst/>
                    </a:prstGeom>
                    <a:noFill/>
                  </pic:spPr>
                </pic:pic>
              </a:graphicData>
            </a:graphic>
          </wp:anchor>
        </w:drawing>
      </w:r>
    </w:p>
    <w:p w14:paraId="18C0388B" w14:textId="77777777" w:rsidR="00AF6D5E" w:rsidRDefault="00AF6D5E" w:rsidP="00044940">
      <w:pPr>
        <w:jc w:val="center"/>
        <w:rPr>
          <w:rFonts w:asciiTheme="majorHAnsi" w:hAnsiTheme="majorHAnsi"/>
          <w:sz w:val="40"/>
          <w:szCs w:val="40"/>
        </w:rPr>
      </w:pPr>
    </w:p>
    <w:p w14:paraId="7D08288F" w14:textId="0438F94A" w:rsidR="00044940" w:rsidRPr="00FE4665" w:rsidRDefault="00044940" w:rsidP="00044940">
      <w:pPr>
        <w:jc w:val="center"/>
        <w:rPr>
          <w:rFonts w:asciiTheme="majorHAnsi" w:hAnsiTheme="majorHAnsi"/>
          <w:sz w:val="40"/>
          <w:szCs w:val="40"/>
        </w:rPr>
      </w:pPr>
      <w:r w:rsidRPr="00FE4665">
        <w:rPr>
          <w:rFonts w:asciiTheme="majorHAnsi" w:hAnsiTheme="majorHAnsi"/>
          <w:sz w:val="40"/>
          <w:szCs w:val="40"/>
        </w:rPr>
        <w:t>Program Review Committee</w:t>
      </w:r>
    </w:p>
    <w:p w14:paraId="3882EE47" w14:textId="77777777" w:rsidR="0074152D" w:rsidRDefault="00044940" w:rsidP="00044940">
      <w:pPr>
        <w:jc w:val="center"/>
        <w:rPr>
          <w:rFonts w:asciiTheme="majorHAnsi" w:hAnsiTheme="majorHAnsi"/>
          <w:sz w:val="40"/>
          <w:szCs w:val="40"/>
        </w:rPr>
      </w:pPr>
      <w:r w:rsidRPr="522C7F58">
        <w:rPr>
          <w:rFonts w:asciiTheme="majorHAnsi" w:hAnsiTheme="majorHAnsi"/>
          <w:sz w:val="40"/>
          <w:szCs w:val="40"/>
        </w:rPr>
        <w:t>2025 Workplan</w:t>
      </w:r>
      <w:r w:rsidR="004C702D" w:rsidRPr="522C7F58">
        <w:rPr>
          <w:rFonts w:asciiTheme="majorHAnsi" w:hAnsiTheme="majorHAnsi"/>
          <w:sz w:val="40"/>
          <w:szCs w:val="40"/>
        </w:rPr>
        <w:t xml:space="preserve"> </w:t>
      </w:r>
    </w:p>
    <w:p w14:paraId="2F953206" w14:textId="70895BF3" w:rsidR="73426576" w:rsidRDefault="73426576" w:rsidP="522C7F58">
      <w:pPr>
        <w:jc w:val="center"/>
      </w:pPr>
      <w:r w:rsidRPr="522C7F58">
        <w:rPr>
          <w:rFonts w:asciiTheme="majorHAnsi" w:hAnsiTheme="majorHAnsi"/>
          <w:sz w:val="40"/>
          <w:szCs w:val="40"/>
        </w:rPr>
        <w:t>Board Approved</w:t>
      </w:r>
    </w:p>
    <w:p w14:paraId="6D43E5D1" w14:textId="76133726" w:rsidR="00044940" w:rsidRPr="00AF6D5E" w:rsidRDefault="0056221C" w:rsidP="00044940">
      <w:pPr>
        <w:jc w:val="center"/>
        <w:rPr>
          <w:rFonts w:asciiTheme="majorHAnsi" w:hAnsiTheme="majorHAnsi"/>
          <w:sz w:val="40"/>
          <w:szCs w:val="40"/>
        </w:rPr>
      </w:pPr>
      <w:r>
        <w:rPr>
          <w:rFonts w:asciiTheme="majorHAnsi" w:hAnsiTheme="majorHAnsi"/>
          <w:sz w:val="40"/>
          <w:szCs w:val="40"/>
        </w:rPr>
        <w:t>June</w:t>
      </w:r>
      <w:r w:rsidR="00061343">
        <w:rPr>
          <w:rFonts w:asciiTheme="majorHAnsi" w:hAnsiTheme="majorHAnsi"/>
          <w:sz w:val="40"/>
          <w:szCs w:val="40"/>
        </w:rPr>
        <w:t xml:space="preserve"> </w:t>
      </w:r>
      <w:r w:rsidR="000C6A3B">
        <w:rPr>
          <w:rFonts w:asciiTheme="majorHAnsi" w:hAnsiTheme="majorHAnsi"/>
          <w:sz w:val="40"/>
          <w:szCs w:val="40"/>
        </w:rPr>
        <w:t>25</w:t>
      </w:r>
      <w:r w:rsidR="00061343">
        <w:rPr>
          <w:rFonts w:asciiTheme="majorHAnsi" w:hAnsiTheme="majorHAnsi"/>
          <w:sz w:val="40"/>
          <w:szCs w:val="40"/>
        </w:rPr>
        <w:t>,</w:t>
      </w:r>
      <w:r w:rsidR="00044940" w:rsidRPr="00AF6D5E">
        <w:rPr>
          <w:rFonts w:asciiTheme="majorHAnsi" w:hAnsiTheme="majorHAnsi"/>
          <w:sz w:val="40"/>
          <w:szCs w:val="40"/>
        </w:rPr>
        <w:t xml:space="preserve"> 2025</w:t>
      </w:r>
    </w:p>
    <w:p w14:paraId="56D0B44C" w14:textId="77777777" w:rsidR="00FE4665" w:rsidRDefault="00FE4665">
      <w:pPr>
        <w:rPr>
          <w:rFonts w:asciiTheme="majorHAnsi" w:hAnsiTheme="majorHAnsi"/>
          <w:color w:val="215E99" w:themeColor="text2" w:themeTint="BF"/>
          <w:sz w:val="40"/>
          <w:szCs w:val="40"/>
        </w:rPr>
      </w:pPr>
      <w:r>
        <w:rPr>
          <w:rFonts w:asciiTheme="majorHAnsi" w:hAnsiTheme="majorHAnsi"/>
          <w:color w:val="215E99" w:themeColor="text2" w:themeTint="BF"/>
          <w:sz w:val="40"/>
          <w:szCs w:val="40"/>
        </w:rPr>
        <w:br w:type="page"/>
      </w:r>
    </w:p>
    <w:p w14:paraId="70B07529" w14:textId="3F706B49" w:rsidR="00FE4665" w:rsidRDefault="00FE4665" w:rsidP="00FE4665">
      <w:pPr>
        <w:rPr>
          <w:rFonts w:asciiTheme="majorHAnsi" w:hAnsiTheme="majorHAnsi"/>
          <w:color w:val="215E99" w:themeColor="text2" w:themeTint="BF"/>
          <w:sz w:val="40"/>
          <w:szCs w:val="40"/>
        </w:rPr>
      </w:pPr>
      <w:r w:rsidRPr="00EE1691">
        <w:rPr>
          <w:rFonts w:asciiTheme="majorHAnsi" w:hAnsiTheme="majorHAnsi"/>
          <w:color w:val="215E99" w:themeColor="text2" w:themeTint="BF"/>
          <w:sz w:val="40"/>
          <w:szCs w:val="40"/>
        </w:rPr>
        <w:lastRenderedPageBreak/>
        <w:t>Table of Contents</w:t>
      </w:r>
    </w:p>
    <w:p w14:paraId="7F569939" w14:textId="2743D5EE" w:rsidR="00963146" w:rsidRDefault="007E1B5F">
      <w:pPr>
        <w:pStyle w:val="TOC1"/>
        <w:rPr>
          <w:kern w:val="2"/>
          <w:lang w:eastAsia="en-US"/>
          <w14:ligatures w14:val="standardContextual"/>
        </w:rPr>
      </w:pPr>
      <w:r>
        <w:fldChar w:fldCharType="begin"/>
      </w:r>
      <w:r>
        <w:instrText xml:space="preserve"> TOC \b TOC1Body  \* MERGEFORMAT </w:instrText>
      </w:r>
      <w:r>
        <w:fldChar w:fldCharType="separate"/>
      </w:r>
      <w:r w:rsidR="00963146">
        <w:t>Executive Summary</w:t>
      </w:r>
      <w:r w:rsidR="00963146">
        <w:tab/>
      </w:r>
      <w:r w:rsidR="00963146">
        <w:fldChar w:fldCharType="begin"/>
      </w:r>
      <w:r w:rsidR="00963146">
        <w:instrText xml:space="preserve"> PAGEREF _Toc202175302 \h </w:instrText>
      </w:r>
      <w:r w:rsidR="00963146">
        <w:fldChar w:fldCharType="separate"/>
      </w:r>
      <w:r w:rsidR="00963146">
        <w:t>3</w:t>
      </w:r>
      <w:r w:rsidR="00963146">
        <w:fldChar w:fldCharType="end"/>
      </w:r>
    </w:p>
    <w:p w14:paraId="387502C7" w14:textId="77777777" w:rsidR="00E65670" w:rsidRDefault="00E65670">
      <w:pPr>
        <w:pStyle w:val="TOC1"/>
      </w:pPr>
    </w:p>
    <w:p w14:paraId="38410F80" w14:textId="4A54F62D" w:rsidR="00963146" w:rsidRDefault="00963146">
      <w:pPr>
        <w:pStyle w:val="TOC1"/>
        <w:rPr>
          <w:kern w:val="2"/>
          <w:lang w:eastAsia="en-US"/>
          <w14:ligatures w14:val="standardContextual"/>
        </w:rPr>
      </w:pPr>
      <w:r>
        <w:t>1.</w:t>
      </w:r>
      <w:r>
        <w:rPr>
          <w:kern w:val="2"/>
          <w:lang w:eastAsia="en-US"/>
          <w14:ligatures w14:val="standardContextual"/>
        </w:rPr>
        <w:tab/>
      </w:r>
      <w:r>
        <w:t>Background</w:t>
      </w:r>
      <w:r>
        <w:tab/>
      </w:r>
      <w:r>
        <w:fldChar w:fldCharType="begin"/>
      </w:r>
      <w:r>
        <w:instrText xml:space="preserve"> PAGEREF _Toc202175303 \h </w:instrText>
      </w:r>
      <w:r>
        <w:fldChar w:fldCharType="separate"/>
      </w:r>
      <w:r>
        <w:t>4</w:t>
      </w:r>
      <w:r>
        <w:fldChar w:fldCharType="end"/>
      </w:r>
    </w:p>
    <w:p w14:paraId="32FC7BA4" w14:textId="7394500E" w:rsidR="00963146" w:rsidRDefault="00963146">
      <w:pPr>
        <w:pStyle w:val="TOC1"/>
        <w:rPr>
          <w:kern w:val="2"/>
          <w:lang w:eastAsia="en-US"/>
          <w14:ligatures w14:val="standardContextual"/>
        </w:rPr>
      </w:pPr>
      <w:r>
        <w:t>2.</w:t>
      </w:r>
      <w:r>
        <w:rPr>
          <w:kern w:val="2"/>
          <w:lang w:eastAsia="en-US"/>
          <w14:ligatures w14:val="standardContextual"/>
        </w:rPr>
        <w:tab/>
      </w:r>
      <w:r>
        <w:t>PRC Prioritization Exercise</w:t>
      </w:r>
      <w:r>
        <w:tab/>
      </w:r>
      <w:r>
        <w:fldChar w:fldCharType="begin"/>
      </w:r>
      <w:r>
        <w:instrText xml:space="preserve"> PAGEREF _Toc202175304 \h </w:instrText>
      </w:r>
      <w:r>
        <w:fldChar w:fldCharType="separate"/>
      </w:r>
      <w:r>
        <w:t>5</w:t>
      </w:r>
      <w:r>
        <w:fldChar w:fldCharType="end"/>
      </w:r>
    </w:p>
    <w:p w14:paraId="1B2009C3" w14:textId="1AEF77AA" w:rsidR="00963146" w:rsidRDefault="00963146">
      <w:pPr>
        <w:pStyle w:val="TOC1"/>
        <w:rPr>
          <w:kern w:val="2"/>
          <w:lang w:eastAsia="en-US"/>
          <w14:ligatures w14:val="standardContextual"/>
        </w:rPr>
      </w:pPr>
      <w:r>
        <w:t>3.</w:t>
      </w:r>
      <w:r>
        <w:rPr>
          <w:kern w:val="2"/>
          <w:lang w:eastAsia="en-US"/>
          <w14:ligatures w14:val="standardContextual"/>
        </w:rPr>
        <w:tab/>
      </w:r>
      <w:r>
        <w:t>Detailed Level of Effort Review</w:t>
      </w:r>
      <w:r>
        <w:tab/>
      </w:r>
      <w:r>
        <w:fldChar w:fldCharType="begin"/>
      </w:r>
      <w:r>
        <w:instrText xml:space="preserve"> PAGEREF _Toc202175305 \h </w:instrText>
      </w:r>
      <w:r>
        <w:fldChar w:fldCharType="separate"/>
      </w:r>
      <w:r>
        <w:t>9</w:t>
      </w:r>
      <w:r>
        <w:fldChar w:fldCharType="end"/>
      </w:r>
    </w:p>
    <w:p w14:paraId="372346BF" w14:textId="60168E36" w:rsidR="00963146" w:rsidRDefault="00963146">
      <w:pPr>
        <w:pStyle w:val="TOC1"/>
        <w:rPr>
          <w:kern w:val="2"/>
          <w:lang w:eastAsia="en-US"/>
          <w14:ligatures w14:val="standardContextual"/>
        </w:rPr>
      </w:pPr>
      <w:r>
        <w:t>4.</w:t>
      </w:r>
      <w:r>
        <w:rPr>
          <w:kern w:val="2"/>
          <w:lang w:eastAsia="en-US"/>
          <w14:ligatures w14:val="standardContextual"/>
        </w:rPr>
        <w:tab/>
      </w:r>
      <w:r>
        <w:t>Proposed Schedule and Plan of Action</w:t>
      </w:r>
      <w:r>
        <w:tab/>
      </w:r>
      <w:r>
        <w:fldChar w:fldCharType="begin"/>
      </w:r>
      <w:r>
        <w:instrText xml:space="preserve"> PAGEREF _Toc202175306 \h </w:instrText>
      </w:r>
      <w:r>
        <w:fldChar w:fldCharType="separate"/>
      </w:r>
      <w:r>
        <w:t>11</w:t>
      </w:r>
      <w:r>
        <w:fldChar w:fldCharType="end"/>
      </w:r>
    </w:p>
    <w:p w14:paraId="5F5DDD1C" w14:textId="1C32F554" w:rsidR="00963146" w:rsidRDefault="00963146">
      <w:pPr>
        <w:pStyle w:val="TOC1"/>
        <w:rPr>
          <w:kern w:val="2"/>
          <w:lang w:eastAsia="en-US"/>
          <w14:ligatures w14:val="standardContextual"/>
        </w:rPr>
      </w:pPr>
      <w:r>
        <w:t>5.</w:t>
      </w:r>
      <w:r>
        <w:rPr>
          <w:kern w:val="2"/>
          <w:lang w:eastAsia="en-US"/>
          <w14:ligatures w14:val="standardContextual"/>
        </w:rPr>
        <w:tab/>
      </w:r>
      <w:r>
        <w:t>Changes in Response to Comments</w:t>
      </w:r>
      <w:r>
        <w:tab/>
      </w:r>
      <w:r>
        <w:fldChar w:fldCharType="begin"/>
      </w:r>
      <w:r>
        <w:instrText xml:space="preserve"> PAGEREF _Toc202175307 \h </w:instrText>
      </w:r>
      <w:r>
        <w:fldChar w:fldCharType="separate"/>
      </w:r>
      <w:r>
        <w:t>13</w:t>
      </w:r>
      <w:r>
        <w:fldChar w:fldCharType="end"/>
      </w:r>
    </w:p>
    <w:p w14:paraId="2EF85F34" w14:textId="438033E9" w:rsidR="00963146" w:rsidRDefault="00963146">
      <w:pPr>
        <w:pStyle w:val="TOC1"/>
        <w:rPr>
          <w:kern w:val="2"/>
          <w:lang w:eastAsia="en-US"/>
          <w14:ligatures w14:val="standardContextual"/>
        </w:rPr>
      </w:pPr>
      <w:r>
        <w:t>6.</w:t>
      </w:r>
      <w:r>
        <w:rPr>
          <w:kern w:val="2"/>
          <w:lang w:eastAsia="en-US"/>
          <w14:ligatures w14:val="standardContextual"/>
        </w:rPr>
        <w:tab/>
      </w:r>
      <w:r>
        <w:t>Next Steps</w:t>
      </w:r>
      <w:r>
        <w:tab/>
      </w:r>
      <w:r>
        <w:fldChar w:fldCharType="begin"/>
      </w:r>
      <w:r>
        <w:instrText xml:space="preserve"> PAGEREF _Toc202175308 \h </w:instrText>
      </w:r>
      <w:r>
        <w:fldChar w:fldCharType="separate"/>
      </w:r>
      <w:r>
        <w:t>14</w:t>
      </w:r>
      <w:r>
        <w:fldChar w:fldCharType="end"/>
      </w:r>
    </w:p>
    <w:p w14:paraId="0969142D" w14:textId="42F7FBB4" w:rsidR="00963146" w:rsidRDefault="00963146">
      <w:pPr>
        <w:pStyle w:val="TOC1"/>
        <w:rPr>
          <w:kern w:val="2"/>
          <w:lang w:eastAsia="en-US"/>
          <w14:ligatures w14:val="standardContextual"/>
        </w:rPr>
      </w:pPr>
      <w:r>
        <w:t>7.</w:t>
      </w:r>
      <w:r>
        <w:rPr>
          <w:kern w:val="2"/>
          <w:lang w:eastAsia="en-US"/>
          <w14:ligatures w14:val="standardContextual"/>
        </w:rPr>
        <w:tab/>
      </w:r>
      <w:r>
        <w:t>Board Consideration</w:t>
      </w:r>
      <w:r>
        <w:tab/>
      </w:r>
      <w:r>
        <w:fldChar w:fldCharType="begin"/>
      </w:r>
      <w:r>
        <w:instrText xml:space="preserve"> PAGEREF _Toc202175309 \h </w:instrText>
      </w:r>
      <w:r>
        <w:fldChar w:fldCharType="separate"/>
      </w:r>
      <w:r>
        <w:t>15</w:t>
      </w:r>
      <w:r>
        <w:fldChar w:fldCharType="end"/>
      </w:r>
    </w:p>
    <w:p w14:paraId="495A9F32" w14:textId="77777777" w:rsidR="00957340" w:rsidRDefault="00957340">
      <w:pPr>
        <w:pStyle w:val="TOC1"/>
      </w:pPr>
    </w:p>
    <w:p w14:paraId="1F37C45D" w14:textId="62BB5FE4" w:rsidR="00963146" w:rsidRDefault="00963146">
      <w:pPr>
        <w:pStyle w:val="TOC1"/>
        <w:rPr>
          <w:kern w:val="2"/>
          <w:lang w:eastAsia="en-US"/>
          <w14:ligatures w14:val="standardContextual"/>
        </w:rPr>
      </w:pPr>
      <w:r w:rsidRPr="001C655C">
        <w:t>Appendix A - Change Request Form Compilation</w:t>
      </w:r>
      <w:r>
        <w:tab/>
      </w:r>
      <w:r>
        <w:fldChar w:fldCharType="begin"/>
      </w:r>
      <w:r>
        <w:instrText xml:space="preserve"> PAGEREF _Toc202175310 \h </w:instrText>
      </w:r>
      <w:r>
        <w:fldChar w:fldCharType="separate"/>
      </w:r>
      <w:r>
        <w:t>16</w:t>
      </w:r>
      <w:r>
        <w:fldChar w:fldCharType="end"/>
      </w:r>
    </w:p>
    <w:p w14:paraId="3723AE1B" w14:textId="77777777" w:rsidR="00957340" w:rsidRDefault="007E1B5F" w:rsidP="00957340">
      <w:pPr>
        <w:spacing w:after="0" w:line="278" w:lineRule="auto"/>
        <w:rPr>
          <w:noProof/>
        </w:rPr>
      </w:pPr>
      <w:r>
        <w:fldChar w:fldCharType="end"/>
      </w:r>
      <w:r w:rsidR="00957340">
        <w:fldChar w:fldCharType="begin"/>
      </w:r>
      <w:r w:rsidR="00957340">
        <w:instrText xml:space="preserve"> TOC \b TOC3PostCRFCompilation  \o "1-1" \* MERGEFORMAT  \* MERGEFORMAT  \* MERGEFORMAT </w:instrText>
      </w:r>
      <w:r w:rsidR="00957340">
        <w:fldChar w:fldCharType="separate"/>
      </w:r>
    </w:p>
    <w:p w14:paraId="6EDB03E5" w14:textId="7CFF1E3B" w:rsidR="00957340" w:rsidRDefault="00957340">
      <w:pPr>
        <w:pStyle w:val="TOC1"/>
        <w:rPr>
          <w:kern w:val="2"/>
          <w:lang w:eastAsia="en-US"/>
          <w14:ligatures w14:val="standardContextual"/>
        </w:rPr>
      </w:pPr>
      <w:r>
        <w:t>Appendix B – PRC Minutes Dec. 18</w:t>
      </w:r>
      <w:r w:rsidRPr="0054703F">
        <w:rPr>
          <w:vertAlign w:val="superscript"/>
        </w:rPr>
        <w:t>th</w:t>
      </w:r>
      <w:r>
        <w:t>, 2024; 9-10am PT</w:t>
      </w:r>
      <w:r>
        <w:tab/>
      </w:r>
      <w:r>
        <w:fldChar w:fldCharType="begin"/>
      </w:r>
      <w:r>
        <w:instrText xml:space="preserve"> PAGEREF _Toc202176720 \h </w:instrText>
      </w:r>
      <w:r>
        <w:fldChar w:fldCharType="separate"/>
      </w:r>
      <w:r>
        <w:t>71</w:t>
      </w:r>
      <w:r>
        <w:fldChar w:fldCharType="end"/>
      </w:r>
    </w:p>
    <w:p w14:paraId="160532CF" w14:textId="77777777" w:rsidR="00957340" w:rsidRDefault="00957340">
      <w:pPr>
        <w:pStyle w:val="TOC1"/>
      </w:pPr>
    </w:p>
    <w:p w14:paraId="633149F9" w14:textId="349A1430" w:rsidR="00957340" w:rsidRDefault="00957340">
      <w:pPr>
        <w:pStyle w:val="TOC1"/>
        <w:rPr>
          <w:kern w:val="2"/>
          <w:lang w:eastAsia="en-US"/>
          <w14:ligatures w14:val="standardContextual"/>
        </w:rPr>
      </w:pPr>
      <w:r>
        <w:t>Appendix C – PRC Minutes Jan. 23</w:t>
      </w:r>
      <w:r w:rsidRPr="0054703F">
        <w:rPr>
          <w:vertAlign w:val="superscript"/>
        </w:rPr>
        <w:t>rd</w:t>
      </w:r>
      <w:r>
        <w:t>, 2025; 9-12pm AZ</w:t>
      </w:r>
      <w:r>
        <w:tab/>
      </w:r>
      <w:r>
        <w:fldChar w:fldCharType="begin"/>
      </w:r>
      <w:r>
        <w:instrText xml:space="preserve"> PAGEREF _Toc202176721 \h </w:instrText>
      </w:r>
      <w:r>
        <w:fldChar w:fldCharType="separate"/>
      </w:r>
      <w:r>
        <w:t>74</w:t>
      </w:r>
      <w:r>
        <w:fldChar w:fldCharType="end"/>
      </w:r>
    </w:p>
    <w:p w14:paraId="63FB082B" w14:textId="77777777" w:rsidR="00957340" w:rsidRDefault="00957340">
      <w:pPr>
        <w:pStyle w:val="TOC1"/>
      </w:pPr>
    </w:p>
    <w:p w14:paraId="74EFB0F1" w14:textId="607AD99B" w:rsidR="00957340" w:rsidRDefault="00957340">
      <w:pPr>
        <w:pStyle w:val="TOC1"/>
        <w:rPr>
          <w:kern w:val="2"/>
          <w:lang w:eastAsia="en-US"/>
          <w14:ligatures w14:val="standardContextual"/>
        </w:rPr>
      </w:pPr>
      <w:r>
        <w:t>Appendix D – PRC Minutes Feb. 19</w:t>
      </w:r>
      <w:r w:rsidRPr="0054703F">
        <w:rPr>
          <w:vertAlign w:val="superscript"/>
        </w:rPr>
        <w:t>th</w:t>
      </w:r>
      <w:r>
        <w:t>, 2025; 8:30-10am PT</w:t>
      </w:r>
      <w:r>
        <w:tab/>
      </w:r>
      <w:r>
        <w:fldChar w:fldCharType="begin"/>
      </w:r>
      <w:r>
        <w:instrText xml:space="preserve"> PAGEREF _Toc202176722 \h </w:instrText>
      </w:r>
      <w:r>
        <w:fldChar w:fldCharType="separate"/>
      </w:r>
      <w:r>
        <w:t>79</w:t>
      </w:r>
      <w:r>
        <w:fldChar w:fldCharType="end"/>
      </w:r>
    </w:p>
    <w:p w14:paraId="1B2FE872" w14:textId="77777777" w:rsidR="00957340" w:rsidRDefault="00957340">
      <w:pPr>
        <w:pStyle w:val="TOC1"/>
      </w:pPr>
    </w:p>
    <w:p w14:paraId="2A640570" w14:textId="307532F0" w:rsidR="00957340" w:rsidRDefault="00957340">
      <w:pPr>
        <w:pStyle w:val="TOC1"/>
        <w:rPr>
          <w:kern w:val="2"/>
          <w:lang w:eastAsia="en-US"/>
          <w14:ligatures w14:val="standardContextual"/>
        </w:rPr>
      </w:pPr>
      <w:r w:rsidRPr="0054703F">
        <w:t>Appendix E – 2025 Workplan Stakeholder Review Comments</w:t>
      </w:r>
      <w:r>
        <w:tab/>
      </w:r>
      <w:r>
        <w:fldChar w:fldCharType="begin"/>
      </w:r>
      <w:r>
        <w:instrText xml:space="preserve"> PAGEREF _Toc202176723 \h </w:instrText>
      </w:r>
      <w:r>
        <w:fldChar w:fldCharType="separate"/>
      </w:r>
      <w:r>
        <w:t>84</w:t>
      </w:r>
      <w:r>
        <w:fldChar w:fldCharType="end"/>
      </w:r>
    </w:p>
    <w:p w14:paraId="33D73B7D" w14:textId="77777777" w:rsidR="00957340" w:rsidRDefault="00957340">
      <w:pPr>
        <w:pStyle w:val="TOC1"/>
      </w:pPr>
    </w:p>
    <w:p w14:paraId="5A316524" w14:textId="17F52D4A" w:rsidR="00957340" w:rsidRDefault="00957340">
      <w:pPr>
        <w:pStyle w:val="TOC1"/>
        <w:rPr>
          <w:kern w:val="2"/>
          <w:lang w:eastAsia="en-US"/>
          <w14:ligatures w14:val="standardContextual"/>
        </w:rPr>
      </w:pPr>
      <w:r>
        <w:t>Appendix F – WPP Board Meeting Jun. 25</w:t>
      </w:r>
      <w:r w:rsidRPr="0054703F">
        <w:rPr>
          <w:vertAlign w:val="superscript"/>
        </w:rPr>
        <w:t>th</w:t>
      </w:r>
      <w:r>
        <w:t>, 2025; 9:00-10:30am PT</w:t>
      </w:r>
      <w:r>
        <w:tab/>
      </w:r>
      <w:r>
        <w:fldChar w:fldCharType="begin"/>
      </w:r>
      <w:r>
        <w:instrText xml:space="preserve"> PAGEREF _Toc202176724 \h </w:instrText>
      </w:r>
      <w:r>
        <w:fldChar w:fldCharType="separate"/>
      </w:r>
      <w:r>
        <w:t>103</w:t>
      </w:r>
      <w:r>
        <w:fldChar w:fldCharType="end"/>
      </w:r>
    </w:p>
    <w:p w14:paraId="644A890B" w14:textId="20C816E9" w:rsidR="00786B60" w:rsidRDefault="00957340" w:rsidP="00957340">
      <w:pPr>
        <w:spacing w:after="0" w:line="278" w:lineRule="auto"/>
      </w:pPr>
      <w:r>
        <w:fldChar w:fldCharType="end"/>
      </w:r>
    </w:p>
    <w:p w14:paraId="4CE7C5B1" w14:textId="1D1907BC" w:rsidR="00A52676" w:rsidRDefault="00A52676">
      <w:r>
        <w:br w:type="page"/>
      </w:r>
    </w:p>
    <w:p w14:paraId="3963115A" w14:textId="77777777" w:rsidR="00B57559" w:rsidRDefault="00B57559" w:rsidP="00B57559">
      <w:pPr>
        <w:pStyle w:val="Heading1"/>
      </w:pPr>
      <w:bookmarkStart w:id="0" w:name="_Toc202175302"/>
      <w:bookmarkStart w:id="1" w:name="TOC1Body"/>
      <w:r>
        <w:lastRenderedPageBreak/>
        <w:t>Executive Summary</w:t>
      </w:r>
      <w:bookmarkEnd w:id="0"/>
    </w:p>
    <w:p w14:paraId="53C0977F" w14:textId="36A4735F" w:rsidR="00263956" w:rsidRDefault="00195AAC" w:rsidP="00634DF8">
      <w:r>
        <w:t>Western Power Pool</w:t>
      </w:r>
      <w:r w:rsidR="00344CBA">
        <w:t>’s (WPP)</w:t>
      </w:r>
      <w:r w:rsidR="00634DF8">
        <w:t xml:space="preserve"> </w:t>
      </w:r>
      <w:r w:rsidR="00344CBA">
        <w:t>Western Resource Adequacy Program (</w:t>
      </w:r>
      <w:r w:rsidR="00634DF8">
        <w:t>WRAP</w:t>
      </w:r>
      <w:r w:rsidR="00344CBA">
        <w:t>)</w:t>
      </w:r>
      <w:r w:rsidR="00634DF8">
        <w:t xml:space="preserve"> Tariff was approved by the Federal Energy Regulatory Commission (FERC) in February 2023. </w:t>
      </w:r>
      <w:r w:rsidR="00344CBA">
        <w:t>T</w:t>
      </w:r>
      <w:r w:rsidR="00634DF8">
        <w:t>he</w:t>
      </w:r>
      <w:r w:rsidR="00344CBA">
        <w:t xml:space="preserve"> WRAP’s</w:t>
      </w:r>
      <w:r w:rsidR="00634DF8">
        <w:t xml:space="preserve"> P</w:t>
      </w:r>
      <w:r w:rsidR="00344CBA">
        <w:t>rogram Review Committee</w:t>
      </w:r>
      <w:r w:rsidR="003F384F">
        <w:t xml:space="preserve"> (PRC) then</w:t>
      </w:r>
      <w:r w:rsidR="00634DF8">
        <w:t xml:space="preserve"> worked with the R</w:t>
      </w:r>
      <w:r w:rsidR="003F384F">
        <w:t>esource Adequacy Participant Committee (R</w:t>
      </w:r>
      <w:r w:rsidR="00634DF8">
        <w:t>APC</w:t>
      </w:r>
      <w:r w:rsidR="008557D4">
        <w:t>), Committee of State Representatives (COSR)</w:t>
      </w:r>
      <w:r w:rsidR="00634DF8">
        <w:t xml:space="preserve"> and</w:t>
      </w:r>
      <w:r w:rsidR="008557D4">
        <w:t xml:space="preserve"> other</w:t>
      </w:r>
      <w:r w:rsidR="00634DF8">
        <w:t xml:space="preserve"> interested stakeholders to draft Business Practice Manuals (BPMs) providing additional policy details and guidance on WRAP</w:t>
      </w:r>
      <w:r w:rsidR="00EA55BB">
        <w:t xml:space="preserve"> participation</w:t>
      </w:r>
      <w:r w:rsidR="00634DF8">
        <w:t xml:space="preserve">. </w:t>
      </w:r>
      <w:r w:rsidR="00EB7442">
        <w:t xml:space="preserve">Following the completion of all </w:t>
      </w:r>
      <w:r w:rsidR="00634DF8">
        <w:t>BPM</w:t>
      </w:r>
      <w:r w:rsidR="00EB7442">
        <w:t xml:space="preserve">s </w:t>
      </w:r>
      <w:r w:rsidR="00634DF8">
        <w:t>in September 2024,</w:t>
      </w:r>
      <w:r w:rsidR="00DE4A18">
        <w:t xml:space="preserve"> </w:t>
      </w:r>
      <w:r w:rsidR="00634DF8">
        <w:t>the online WRAP Change Request Portal opened in October for stakeholders to submit</w:t>
      </w:r>
      <w:r w:rsidR="00DE4A18">
        <w:t xml:space="preserve"> ideas for changes</w:t>
      </w:r>
      <w:r w:rsidR="00526CAD">
        <w:t xml:space="preserve"> (known as Concepts)</w:t>
      </w:r>
      <w:r w:rsidR="00DE4A18">
        <w:t xml:space="preserve"> to the Tariff or BPMs </w:t>
      </w:r>
      <w:r w:rsidR="00634DF8">
        <w:t>via</w:t>
      </w:r>
      <w:r w:rsidR="00DE4A18">
        <w:t xml:space="preserve"> Change Request Forms</w:t>
      </w:r>
      <w:r w:rsidR="00634DF8">
        <w:t xml:space="preserve"> </w:t>
      </w:r>
      <w:r w:rsidR="00DE4A18">
        <w:t>(</w:t>
      </w:r>
      <w:r w:rsidR="00634DF8">
        <w:t>CRFs</w:t>
      </w:r>
      <w:r w:rsidR="00DE4A18">
        <w:t>)</w:t>
      </w:r>
      <w:r w:rsidR="00634DF8">
        <w:t xml:space="preserve">. </w:t>
      </w:r>
      <w:r w:rsidR="00F93022">
        <w:t>Concepts are high-level ideas that need to be developed into full Proposals</w:t>
      </w:r>
      <w:r w:rsidR="00884344">
        <w:t xml:space="preserve"> </w:t>
      </w:r>
      <w:r w:rsidR="00FC56A3">
        <w:t>ready to</w:t>
      </w:r>
      <w:r w:rsidR="0041743B">
        <w:t xml:space="preserve"> go out for comment</w:t>
      </w:r>
      <w:r w:rsidR="00A74B7E">
        <w:t xml:space="preserve"> before being considered for approval by</w:t>
      </w:r>
      <w:r w:rsidR="008567DC">
        <w:t xml:space="preserve"> </w:t>
      </w:r>
      <w:r w:rsidR="00A74B7E">
        <w:t>WPP</w:t>
      </w:r>
      <w:r w:rsidR="008567DC">
        <w:t>’s</w:t>
      </w:r>
      <w:r w:rsidR="00A74B7E">
        <w:t xml:space="preserve"> Board</w:t>
      </w:r>
      <w:r w:rsidR="00FC56A3">
        <w:t xml:space="preserve"> of Directors (Board)</w:t>
      </w:r>
      <w:r w:rsidR="00A74B7E">
        <w:t>.</w:t>
      </w:r>
      <w:r w:rsidR="00A32A37">
        <w:t xml:space="preserve"> </w:t>
      </w:r>
      <w:r w:rsidR="0023560D">
        <w:t xml:space="preserve"> T</w:t>
      </w:r>
      <w:r w:rsidR="0023560D" w:rsidRPr="00EA0D6D">
        <w:t xml:space="preserve">he final day for stakeholders to submit </w:t>
      </w:r>
      <w:r w:rsidR="0023560D">
        <w:t>complete CRFs to be considered for the PRC’s 2025 Workplan was</w:t>
      </w:r>
      <w:r w:rsidR="0023560D" w:rsidRPr="00EA0D6D">
        <w:t xml:space="preserve"> December 31</w:t>
      </w:r>
      <w:r w:rsidR="0023560D" w:rsidRPr="00EA0D6D">
        <w:rPr>
          <w:vertAlign w:val="superscript"/>
        </w:rPr>
        <w:t>st</w:t>
      </w:r>
      <w:r w:rsidR="0023560D">
        <w:t xml:space="preserve">, 2024. </w:t>
      </w:r>
      <w:r w:rsidR="00C16F54">
        <w:t xml:space="preserve"> </w:t>
      </w:r>
      <w:r w:rsidR="00A32A37">
        <w:t>A compilation of CRFs submitted</w:t>
      </w:r>
      <w:r w:rsidR="0091464B">
        <w:t xml:space="preserve"> in 2024 can be found in </w:t>
      </w:r>
      <w:r w:rsidR="0091464B">
        <w:fldChar w:fldCharType="begin"/>
      </w:r>
      <w:r w:rsidR="0091464B">
        <w:instrText xml:space="preserve"> REF _Ref189748207 \h </w:instrText>
      </w:r>
      <w:r w:rsidR="0091464B">
        <w:fldChar w:fldCharType="separate"/>
      </w:r>
      <w:r w:rsidR="00114611">
        <w:t xml:space="preserve">Appendix A - </w:t>
      </w:r>
      <w:r w:rsidR="00114611" w:rsidRPr="009A230E">
        <w:t>Change Request Form Compilation</w:t>
      </w:r>
      <w:r w:rsidR="0091464B">
        <w:fldChar w:fldCharType="end"/>
      </w:r>
      <w:r w:rsidR="0091464B">
        <w:t>.</w:t>
      </w:r>
      <w:r w:rsidR="00A74B7E">
        <w:t xml:space="preserve"> </w:t>
      </w:r>
    </w:p>
    <w:p w14:paraId="03826E8C" w14:textId="0BA4DCD9" w:rsidR="00B2746C" w:rsidRPr="00061343" w:rsidRDefault="00D45074" w:rsidP="00634DF8">
      <w:r>
        <w:t xml:space="preserve">This 2025 Workplan contains a schedule and plan of action for </w:t>
      </w:r>
      <w:r w:rsidR="00311BC8">
        <w:t>Task Forces to</w:t>
      </w:r>
      <w:r w:rsidR="00B83298">
        <w:t xml:space="preserve"> develop</w:t>
      </w:r>
      <w:r w:rsidR="00550378">
        <w:t xml:space="preserve"> </w:t>
      </w:r>
      <w:r w:rsidR="00B83298">
        <w:t xml:space="preserve">Concepts </w:t>
      </w:r>
      <w:r w:rsidR="00550378">
        <w:t xml:space="preserve">into </w:t>
      </w:r>
      <w:r w:rsidR="00393E90">
        <w:t xml:space="preserve">Proposals. </w:t>
      </w:r>
      <w:r w:rsidR="00F72439">
        <w:t xml:space="preserve">As part of the development of this Workplan the PRC prioritized </w:t>
      </w:r>
      <w:r w:rsidR="00561B0E">
        <w:t>the Concepts</w:t>
      </w:r>
      <w:r w:rsidR="00E120F8">
        <w:t xml:space="preserve"> received in 2024 at a meeting in January 2025 (see Section </w:t>
      </w:r>
      <w:r w:rsidR="00E120F8">
        <w:fldChar w:fldCharType="begin"/>
      </w:r>
      <w:r w:rsidR="00E120F8">
        <w:instrText xml:space="preserve"> REF _Ref189832792 \r \h </w:instrText>
      </w:r>
      <w:r w:rsidR="00E120F8">
        <w:fldChar w:fldCharType="separate"/>
      </w:r>
      <w:r w:rsidR="00114611">
        <w:t>2</w:t>
      </w:r>
      <w:r w:rsidR="00E120F8">
        <w:fldChar w:fldCharType="end"/>
      </w:r>
      <w:r w:rsidR="00E120F8" w:rsidRPr="00061343">
        <w:t>)</w:t>
      </w:r>
      <w:r w:rsidR="00BD75E9" w:rsidRPr="00061343">
        <w:t>, taking into account stakeholder input in support of the continued development of the WRAP</w:t>
      </w:r>
      <w:r w:rsidR="00E120F8" w:rsidRPr="00061343">
        <w:t>.</w:t>
      </w:r>
      <w:r w:rsidR="00C16F54" w:rsidRPr="00061343">
        <w:t xml:space="preserve"> </w:t>
      </w:r>
      <w:r w:rsidR="00C16F54">
        <w:t>Following a level</w:t>
      </w:r>
      <w:r w:rsidR="0036281D">
        <w:t xml:space="preserve"> of effort review</w:t>
      </w:r>
      <w:r w:rsidR="007F279F">
        <w:t xml:space="preserve"> (see Section </w:t>
      </w:r>
      <w:r w:rsidR="007F279F">
        <w:fldChar w:fldCharType="begin"/>
      </w:r>
      <w:r w:rsidR="007F279F">
        <w:instrText xml:space="preserve"> REF _Ref191378582 \r \h </w:instrText>
      </w:r>
      <w:r w:rsidR="007F279F">
        <w:fldChar w:fldCharType="separate"/>
      </w:r>
      <w:r w:rsidR="00114611">
        <w:t>3</w:t>
      </w:r>
      <w:r w:rsidR="007F279F">
        <w:fldChar w:fldCharType="end"/>
      </w:r>
      <w:r w:rsidR="007F279F">
        <w:t>)</w:t>
      </w:r>
      <w:r w:rsidR="0036281D">
        <w:t>, WPP</w:t>
      </w:r>
      <w:r w:rsidR="0061632D">
        <w:t xml:space="preserve"> presented the PRC with a</w:t>
      </w:r>
      <w:r w:rsidR="00B9425E">
        <w:t xml:space="preserve"> Task Force</w:t>
      </w:r>
      <w:r w:rsidR="0061632D">
        <w:t xml:space="preserve"> schedule </w:t>
      </w:r>
      <w:r w:rsidR="00B9425E">
        <w:t>for the period July 2025 through June 2026</w:t>
      </w:r>
      <w:r w:rsidR="007310D3">
        <w:t xml:space="preserve"> along with a plan of action for progressing through the list of prioritized Concepts</w:t>
      </w:r>
      <w:r w:rsidR="007F279F">
        <w:t xml:space="preserve"> (see Section </w:t>
      </w:r>
      <w:r w:rsidR="007F279F">
        <w:fldChar w:fldCharType="begin"/>
      </w:r>
      <w:r w:rsidR="007F279F">
        <w:instrText xml:space="preserve"> REF _Ref191377945 \r \h </w:instrText>
      </w:r>
      <w:r w:rsidR="007F279F">
        <w:fldChar w:fldCharType="separate"/>
      </w:r>
      <w:r w:rsidR="00114611">
        <w:t>4</w:t>
      </w:r>
      <w:r w:rsidR="007F279F">
        <w:fldChar w:fldCharType="end"/>
      </w:r>
      <w:r w:rsidR="007F279F">
        <w:t>)</w:t>
      </w:r>
      <w:r w:rsidR="00B9425E">
        <w:t>.</w:t>
      </w:r>
      <w:r w:rsidR="00A61C6F" w:rsidRPr="00A61C6F">
        <w:rPr>
          <w:color w:val="FF0000"/>
        </w:rPr>
        <w:t xml:space="preserve"> </w:t>
      </w:r>
      <w:r w:rsidR="00A61C6F" w:rsidRPr="00061343">
        <w:t xml:space="preserve">While Concept prioritization </w:t>
      </w:r>
      <w:r w:rsidR="00FF44BD" w:rsidRPr="00061343">
        <w:t>will</w:t>
      </w:r>
      <w:r w:rsidR="00A61C6F" w:rsidRPr="00061343">
        <w:t xml:space="preserve"> remain the foundation of the Workplan, the Committee sought</w:t>
      </w:r>
      <w:r w:rsidR="00E05412" w:rsidRPr="00061343">
        <w:t xml:space="preserve"> to ensure scheduling</w:t>
      </w:r>
      <w:r w:rsidR="00A61C6F" w:rsidRPr="00061343">
        <w:t xml:space="preserve"> flexibility to address special circumstances</w:t>
      </w:r>
      <w:r w:rsidR="003079AF" w:rsidRPr="00061343">
        <w:t xml:space="preserve"> and respond to rapidly evol</w:t>
      </w:r>
      <w:r w:rsidR="00FF44BD" w:rsidRPr="00061343">
        <w:t>ving issues</w:t>
      </w:r>
      <w:r w:rsidR="00E05412" w:rsidRPr="00061343">
        <w:t>.</w:t>
      </w:r>
    </w:p>
    <w:p w14:paraId="4F52709F" w14:textId="44BA449D" w:rsidR="00B57559" w:rsidRPr="00166416" w:rsidRDefault="006D0556">
      <w:r w:rsidRPr="002F4197">
        <w:t>A draft of</w:t>
      </w:r>
      <w:r w:rsidR="008A09B9" w:rsidRPr="002F4197">
        <w:t xml:space="preserve"> th</w:t>
      </w:r>
      <w:r w:rsidR="00B800E8" w:rsidRPr="002F4197">
        <w:t>is</w:t>
      </w:r>
      <w:r w:rsidR="008A09B9" w:rsidRPr="002F4197">
        <w:t xml:space="preserve"> 2025 Workplan was published for comment</w:t>
      </w:r>
      <w:r w:rsidR="00B800E8" w:rsidRPr="002F4197">
        <w:t xml:space="preserve"> March 15</w:t>
      </w:r>
      <w:r w:rsidR="00B800E8" w:rsidRPr="002F4197">
        <w:rPr>
          <w:vertAlign w:val="superscript"/>
        </w:rPr>
        <w:t>th</w:t>
      </w:r>
      <w:r w:rsidR="00B800E8" w:rsidRPr="002F4197">
        <w:t xml:space="preserve"> – April 1</w:t>
      </w:r>
      <w:r w:rsidR="00991E99" w:rsidRPr="002F4197">
        <w:t>5</w:t>
      </w:r>
      <w:r w:rsidR="00B800E8" w:rsidRPr="002F4197">
        <w:rPr>
          <w:vertAlign w:val="superscript"/>
        </w:rPr>
        <w:t>th</w:t>
      </w:r>
      <w:r w:rsidR="00B800E8" w:rsidRPr="002F4197">
        <w:t>, 2025.</w:t>
      </w:r>
      <w:r w:rsidR="00B06CCA" w:rsidRPr="002F4197">
        <w:t xml:space="preserve"> WPP </w:t>
      </w:r>
      <w:r w:rsidR="004F4123" w:rsidRPr="002F4197">
        <w:t>compiled the comments received and distributed them to the PRC</w:t>
      </w:r>
      <w:r w:rsidR="00F75040" w:rsidRPr="002F4197">
        <w:t xml:space="preserve"> (</w:t>
      </w:r>
      <w:r w:rsidR="00AF7A1A" w:rsidRPr="002F4197">
        <w:t xml:space="preserve">see </w:t>
      </w:r>
      <w:r w:rsidR="00D54F84" w:rsidRPr="002F4197">
        <w:fldChar w:fldCharType="begin"/>
      </w:r>
      <w:r w:rsidR="00D54F84" w:rsidRPr="002F4197">
        <w:instrText xml:space="preserve"> REF _Ref191379290 \h </w:instrText>
      </w:r>
      <w:r w:rsidR="00D54F84" w:rsidRPr="002F4197">
        <w:fldChar w:fldCharType="separate"/>
      </w:r>
      <w:r w:rsidR="00114611" w:rsidRPr="00BC7E05">
        <w:t>Appendix E – 2025 Workplan Stakeholder Review Comments</w:t>
      </w:r>
      <w:r w:rsidR="00D54F84" w:rsidRPr="002F4197">
        <w:fldChar w:fldCharType="end"/>
      </w:r>
      <w:r w:rsidR="00ED28DE" w:rsidRPr="002F4197">
        <w:t>)</w:t>
      </w:r>
      <w:r w:rsidR="00D54F84" w:rsidRPr="002F4197">
        <w:t>.</w:t>
      </w:r>
      <w:r w:rsidR="008749C5" w:rsidRPr="002F4197">
        <w:t xml:space="preserve"> The PRC </w:t>
      </w:r>
      <w:r w:rsidR="00D62DC7" w:rsidRPr="002F4197">
        <w:t>then</w:t>
      </w:r>
      <w:r w:rsidR="00AC16DD" w:rsidRPr="002F4197">
        <w:t xml:space="preserve"> had the opportunity to revise the draft </w:t>
      </w:r>
      <w:r w:rsidR="008779EB" w:rsidRPr="002F4197">
        <w:t xml:space="preserve">2025 </w:t>
      </w:r>
      <w:r w:rsidR="00AC16DD" w:rsidRPr="002F4197">
        <w:t>Workplan</w:t>
      </w:r>
      <w:r w:rsidR="003C4BA0" w:rsidRPr="002F4197">
        <w:t xml:space="preserve"> as</w:t>
      </w:r>
      <w:r w:rsidR="00451E78" w:rsidRPr="002F4197">
        <w:t xml:space="preserve"> the Committee</w:t>
      </w:r>
      <w:r w:rsidR="003C4BA0" w:rsidRPr="002F4197">
        <w:t xml:space="preserve"> saw fit</w:t>
      </w:r>
      <w:r w:rsidR="00AC16DD" w:rsidRPr="002F4197">
        <w:t xml:space="preserve"> </w:t>
      </w:r>
      <w:r w:rsidR="003C4BA0" w:rsidRPr="002F4197">
        <w:t>(</w:t>
      </w:r>
      <w:r w:rsidR="002F4197" w:rsidRPr="002F4197">
        <w:t>see the discussion of changes made in</w:t>
      </w:r>
      <w:r w:rsidR="00ED28DE" w:rsidRPr="002F4197">
        <w:t xml:space="preserve"> Section </w:t>
      </w:r>
      <w:r w:rsidR="00ED28DE" w:rsidRPr="002F4197">
        <w:fldChar w:fldCharType="begin"/>
      </w:r>
      <w:r w:rsidR="00ED28DE" w:rsidRPr="002F4197">
        <w:instrText xml:space="preserve"> REF _Ref191462824 \r \h </w:instrText>
      </w:r>
      <w:r w:rsidR="00ED28DE" w:rsidRPr="002F4197">
        <w:fldChar w:fldCharType="separate"/>
      </w:r>
      <w:r w:rsidR="00114611">
        <w:t>5</w:t>
      </w:r>
      <w:r w:rsidR="00ED28DE" w:rsidRPr="002F4197">
        <w:fldChar w:fldCharType="end"/>
      </w:r>
      <w:r w:rsidR="00974D4E">
        <w:t xml:space="preserve"> </w:t>
      </w:r>
      <w:r w:rsidR="00974D4E" w:rsidRPr="00A13BE2">
        <w:t xml:space="preserve">as well as the updated </w:t>
      </w:r>
      <w:r w:rsidR="004E2517" w:rsidRPr="00A13BE2">
        <w:t xml:space="preserve">Task Force </w:t>
      </w:r>
      <w:r w:rsidR="00974D4E" w:rsidRPr="00A13BE2">
        <w:t xml:space="preserve">schedule in </w:t>
      </w:r>
      <w:r w:rsidR="00E80208" w:rsidRPr="00A13BE2">
        <w:fldChar w:fldCharType="begin"/>
      </w:r>
      <w:r w:rsidR="00E80208" w:rsidRPr="00A13BE2">
        <w:instrText xml:space="preserve"> REF _Ref196136337 \h </w:instrText>
      </w:r>
      <w:r w:rsidR="00E80208" w:rsidRPr="00A13BE2">
        <w:fldChar w:fldCharType="separate"/>
      </w:r>
      <w:r w:rsidR="00114611" w:rsidRPr="001D6EAE">
        <w:t xml:space="preserve">Figure </w:t>
      </w:r>
      <w:r w:rsidR="00114611">
        <w:rPr>
          <w:noProof/>
        </w:rPr>
        <w:t>5</w:t>
      </w:r>
      <w:r w:rsidR="00E80208" w:rsidRPr="00A13BE2">
        <w:fldChar w:fldCharType="end"/>
      </w:r>
      <w:r w:rsidR="003C4BA0" w:rsidRPr="00A13BE2">
        <w:t xml:space="preserve">) </w:t>
      </w:r>
      <w:r w:rsidR="003C4BA0" w:rsidRPr="002F4197">
        <w:t>and d</w:t>
      </w:r>
      <w:r w:rsidR="007B37E6" w:rsidRPr="002F4197">
        <w:t>istribute</w:t>
      </w:r>
      <w:r w:rsidR="00A26873" w:rsidRPr="002F4197">
        <w:t>d</w:t>
      </w:r>
      <w:r w:rsidR="003C4BA0" w:rsidRPr="002F4197">
        <w:t xml:space="preserve"> it</w:t>
      </w:r>
      <w:r w:rsidR="007B37E6" w:rsidRPr="002F4197">
        <w:t xml:space="preserve"> to the</w:t>
      </w:r>
      <w:r w:rsidR="000A5040" w:rsidRPr="002F4197">
        <w:t xml:space="preserve"> Board</w:t>
      </w:r>
      <w:r w:rsidR="00F424C8" w:rsidRPr="002F4197">
        <w:t xml:space="preserve"> and RAPC on </w:t>
      </w:r>
      <w:r w:rsidR="004E5A4C" w:rsidRPr="002F4197">
        <w:t>May 15</w:t>
      </w:r>
      <w:r w:rsidR="004E5A4C" w:rsidRPr="002F4197">
        <w:rPr>
          <w:vertAlign w:val="superscript"/>
        </w:rPr>
        <w:t>t</w:t>
      </w:r>
      <w:r w:rsidR="00975DC3" w:rsidRPr="002F4197">
        <w:rPr>
          <w:vertAlign w:val="superscript"/>
        </w:rPr>
        <w:t>h</w:t>
      </w:r>
      <w:r w:rsidR="00975DC3" w:rsidRPr="002F4197">
        <w:t>.</w:t>
      </w:r>
      <w:r w:rsidR="003D5C6D">
        <w:t xml:space="preserve"> </w:t>
      </w:r>
      <w:r w:rsidR="009B0751" w:rsidRPr="002F4197">
        <w:t>The Board consider</w:t>
      </w:r>
      <w:r w:rsidR="00995BB5">
        <w:t>ed</w:t>
      </w:r>
      <w:r w:rsidR="009B0751" w:rsidRPr="002F4197">
        <w:t xml:space="preserve"> and act</w:t>
      </w:r>
      <w:r w:rsidR="00995BB5">
        <w:t>ed</w:t>
      </w:r>
      <w:r w:rsidR="009B0751" w:rsidRPr="002F4197">
        <w:t xml:space="preserve"> on the 2025 Workplan in public session </w:t>
      </w:r>
      <w:r w:rsidR="005542CD">
        <w:t>at</w:t>
      </w:r>
      <w:r w:rsidR="009B0751" w:rsidRPr="002F4197">
        <w:t xml:space="preserve"> its next quarterly </w:t>
      </w:r>
      <w:r w:rsidR="000A5040" w:rsidRPr="002F4197">
        <w:t>meeting</w:t>
      </w:r>
      <w:r w:rsidR="00F003CC">
        <w:t xml:space="preserve"> June </w:t>
      </w:r>
      <w:r w:rsidR="00883BCD">
        <w:t>25</w:t>
      </w:r>
      <w:r w:rsidR="00883BCD" w:rsidRPr="00883BCD">
        <w:rPr>
          <w:vertAlign w:val="superscript"/>
        </w:rPr>
        <w:t>th</w:t>
      </w:r>
      <w:r w:rsidR="00883BCD">
        <w:t>, 2025,</w:t>
      </w:r>
      <w:r w:rsidR="005D3997" w:rsidRPr="002F4197">
        <w:t xml:space="preserve"> during which RAPC and other stakeholders </w:t>
      </w:r>
      <w:r w:rsidR="005542CD">
        <w:t>had</w:t>
      </w:r>
      <w:r w:rsidR="005D3997" w:rsidRPr="002F4197">
        <w:t xml:space="preserve"> the opportunity to comment</w:t>
      </w:r>
      <w:r w:rsidR="00103EFC">
        <w:t xml:space="preserve"> (see Section </w:t>
      </w:r>
      <w:r w:rsidR="00103EFC">
        <w:fldChar w:fldCharType="begin"/>
      </w:r>
      <w:r w:rsidR="00103EFC">
        <w:instrText xml:space="preserve"> REF _Ref196133798 \n \h </w:instrText>
      </w:r>
      <w:r w:rsidR="00103EFC">
        <w:fldChar w:fldCharType="separate"/>
      </w:r>
      <w:r w:rsidR="00114611">
        <w:t>7</w:t>
      </w:r>
      <w:r w:rsidR="00103EFC">
        <w:fldChar w:fldCharType="end"/>
      </w:r>
      <w:r w:rsidR="00103EFC">
        <w:t>)</w:t>
      </w:r>
      <w:r w:rsidR="005D3997" w:rsidRPr="002F4197">
        <w:t xml:space="preserve">. </w:t>
      </w:r>
      <w:r w:rsidR="005542CD">
        <w:t xml:space="preserve">The </w:t>
      </w:r>
      <w:r w:rsidR="005D3997" w:rsidRPr="002F4197">
        <w:t>Board approv</w:t>
      </w:r>
      <w:r w:rsidR="005542CD">
        <w:t>ed</w:t>
      </w:r>
      <w:r w:rsidR="005D3997" w:rsidRPr="002F4197">
        <w:t xml:space="preserve"> the 2025 Workplan </w:t>
      </w:r>
      <w:r w:rsidR="004058CE">
        <w:t>as presented,</w:t>
      </w:r>
      <w:r w:rsidR="005D3997" w:rsidRPr="002F4197">
        <w:t xml:space="preserve"> trigger</w:t>
      </w:r>
      <w:r w:rsidR="004058CE">
        <w:t>ing</w:t>
      </w:r>
      <w:r w:rsidR="005D3997" w:rsidRPr="002F4197">
        <w:t xml:space="preserve"> implementation of the </w:t>
      </w:r>
      <w:r w:rsidR="00876F4A" w:rsidRPr="002F4197">
        <w:t>Task Force schedule</w:t>
      </w:r>
      <w:r w:rsidR="004058CE">
        <w:t xml:space="preserve"> and </w:t>
      </w:r>
      <w:r w:rsidR="008243DE" w:rsidRPr="002F4197">
        <w:t>launching the process</w:t>
      </w:r>
      <w:r w:rsidR="00ED1BA0" w:rsidRPr="002F4197">
        <w:t xml:space="preserve"> of</w:t>
      </w:r>
      <w:r w:rsidR="008243DE" w:rsidRPr="002F4197">
        <w:t xml:space="preserve"> develop</w:t>
      </w:r>
      <w:r w:rsidR="00ED1BA0" w:rsidRPr="002F4197">
        <w:t>ing</w:t>
      </w:r>
      <w:r w:rsidR="008243DE" w:rsidRPr="002F4197">
        <w:t xml:space="preserve"> prioritized Concepts into Proposals ready for </w:t>
      </w:r>
      <w:r w:rsidR="00ED1BA0" w:rsidRPr="002F4197">
        <w:t xml:space="preserve">stakeholder </w:t>
      </w:r>
      <w:r w:rsidR="008243DE" w:rsidRPr="002F4197">
        <w:t>comment</w:t>
      </w:r>
      <w:r w:rsidR="007602B9" w:rsidRPr="002F4197">
        <w:t xml:space="preserve"> </w:t>
      </w:r>
      <w:r w:rsidR="00ED1BA0" w:rsidRPr="002F4197">
        <w:t>before</w:t>
      </w:r>
      <w:r w:rsidR="007602B9" w:rsidRPr="002F4197">
        <w:t xml:space="preserve"> consideration </w:t>
      </w:r>
      <w:r w:rsidR="00ED1BA0" w:rsidRPr="002F4197">
        <w:t>by the Board.</w:t>
      </w:r>
      <w:r w:rsidR="00B57559">
        <w:br w:type="page"/>
      </w:r>
    </w:p>
    <w:p w14:paraId="1F817F2E" w14:textId="2934F4C6" w:rsidR="00775658" w:rsidRDefault="002C3210" w:rsidP="00436BCE">
      <w:pPr>
        <w:pStyle w:val="Heading1"/>
        <w:numPr>
          <w:ilvl w:val="0"/>
          <w:numId w:val="21"/>
        </w:numPr>
      </w:pPr>
      <w:bookmarkStart w:id="2" w:name="_Toc202175303"/>
      <w:r>
        <w:lastRenderedPageBreak/>
        <w:t>Background</w:t>
      </w:r>
      <w:bookmarkEnd w:id="2"/>
    </w:p>
    <w:p w14:paraId="06DC49B4" w14:textId="01052477" w:rsidR="00934C1E" w:rsidRDefault="00934C1E" w:rsidP="00934C1E">
      <w:r w:rsidRPr="00EA0D6D">
        <w:t>The Western Power Pool (WPP) Western Resource Adequacy Program (WRAP) Program Review Committee (PRC) is a multi-sector representative group charged with receiving, considering, and proposing design changes to the WRAP Tariff (Tariff) and Business Practice Manuals (BPMs). The PRC</w:t>
      </w:r>
      <w:r w:rsidR="00801DCD">
        <w:t xml:space="preserve"> (</w:t>
      </w:r>
      <w:r w:rsidR="00822368">
        <w:t xml:space="preserve">or </w:t>
      </w:r>
      <w:r w:rsidR="00801DCD">
        <w:t>Committee)</w:t>
      </w:r>
      <w:r w:rsidRPr="00EA0D6D">
        <w:t xml:space="preserve"> </w:t>
      </w:r>
      <w:r>
        <w:t>is</w:t>
      </w:r>
      <w:r w:rsidRPr="00EA0D6D">
        <w:t xml:space="preserve"> the </w:t>
      </w:r>
      <w:r w:rsidR="00C340A5">
        <w:t xml:space="preserve">main </w:t>
      </w:r>
      <w:r w:rsidRPr="00EA0D6D">
        <w:t xml:space="preserve">clearing house for recommended design changes to the WRAP. These recommended changes </w:t>
      </w:r>
      <w:r w:rsidR="00C340A5">
        <w:t xml:space="preserve">may </w:t>
      </w:r>
      <w:r w:rsidR="003C30ED">
        <w:t>originate with</w:t>
      </w:r>
      <w:r w:rsidRPr="00EA0D6D">
        <w:t xml:space="preserve"> </w:t>
      </w:r>
      <w:r>
        <w:t xml:space="preserve">WRAP </w:t>
      </w:r>
      <w:r w:rsidRPr="00EA0D6D">
        <w:t xml:space="preserve">Participants, the Committee of State Representatives (COSR), the Board of Directors (BOD), other committees, stakeholders, or the public. </w:t>
      </w:r>
    </w:p>
    <w:p w14:paraId="6E5DCFE7" w14:textId="7F820364" w:rsidR="00FC704E" w:rsidRDefault="00934C1E" w:rsidP="00934C1E">
      <w:r w:rsidRPr="00EA0D6D">
        <w:t xml:space="preserve">When a Concept (a suggested change to the Tariff and/or BPMs) is requested, the processes and criteria for review by the PRC </w:t>
      </w:r>
      <w:r>
        <w:t>are</w:t>
      </w:r>
      <w:r w:rsidRPr="00EA0D6D">
        <w:t xml:space="preserve"> </w:t>
      </w:r>
      <w:r w:rsidR="005A75E6">
        <w:t>implemented</w:t>
      </w:r>
      <w:r w:rsidRPr="00EA0D6D">
        <w:t xml:space="preserve"> as established in </w:t>
      </w:r>
      <w:r w:rsidRPr="00EA0D6D">
        <w:rPr>
          <w:i/>
          <w:iCs/>
        </w:rPr>
        <w:t>BPM 301 PRC Workplan Development and Approval</w:t>
      </w:r>
      <w:r w:rsidRPr="00EA0D6D">
        <w:t>.</w:t>
      </w:r>
      <w:r w:rsidR="00A62BEA">
        <w:rPr>
          <w:rStyle w:val="FootnoteReference"/>
        </w:rPr>
        <w:footnoteReference w:id="2"/>
      </w:r>
      <w:r w:rsidRPr="00EA0D6D">
        <w:t xml:space="preserve"> Change Request Forms (CRFs) describing a Concept </w:t>
      </w:r>
      <w:r w:rsidR="00C5330A">
        <w:t>may be</w:t>
      </w:r>
      <w:r w:rsidRPr="00EA0D6D">
        <w:t xml:space="preserve"> submitted at any point during a year</w:t>
      </w:r>
      <w:r w:rsidR="00C5330A">
        <w:t xml:space="preserve"> through the online </w:t>
      </w:r>
      <w:r w:rsidR="00E73BBE">
        <w:t>C</w:t>
      </w:r>
      <w:r w:rsidR="00C5330A">
        <w:t xml:space="preserve">hange </w:t>
      </w:r>
      <w:r w:rsidR="00E73BBE">
        <w:t>R</w:t>
      </w:r>
      <w:r w:rsidR="00C5330A">
        <w:t xml:space="preserve">equest </w:t>
      </w:r>
      <w:r w:rsidR="00E73BBE">
        <w:t>P</w:t>
      </w:r>
      <w:r w:rsidR="00C5330A">
        <w:t>ortal</w:t>
      </w:r>
      <w:r w:rsidRPr="00EA0D6D">
        <w:t>.</w:t>
      </w:r>
      <w:r w:rsidR="00C5330A">
        <w:rPr>
          <w:rStyle w:val="FootnoteReference"/>
        </w:rPr>
        <w:footnoteReference w:id="3"/>
      </w:r>
      <w:r w:rsidRPr="00EA0D6D">
        <w:t xml:space="preserve"> The final day for stakeholders to submit </w:t>
      </w:r>
      <w:r>
        <w:t xml:space="preserve">complete CRFs </w:t>
      </w:r>
      <w:r w:rsidR="00F31358">
        <w:t>to be considered for the PRC’s 2025 Workplan</w:t>
      </w:r>
      <w:r>
        <w:t xml:space="preserve"> was</w:t>
      </w:r>
      <w:r w:rsidRPr="00EA0D6D">
        <w:t xml:space="preserve"> December 31</w:t>
      </w:r>
      <w:r w:rsidRPr="00EA0D6D">
        <w:rPr>
          <w:vertAlign w:val="superscript"/>
        </w:rPr>
        <w:t>st</w:t>
      </w:r>
      <w:r>
        <w:t>, 2024.</w:t>
      </w:r>
      <w:r w:rsidRPr="00EA0D6D">
        <w:t xml:space="preserve"> </w:t>
      </w:r>
      <w:r w:rsidR="00823C51">
        <w:t>Th</w:t>
      </w:r>
      <w:r w:rsidR="00484841">
        <w:t>is</w:t>
      </w:r>
      <w:r w:rsidR="00823C51">
        <w:t xml:space="preserve"> </w:t>
      </w:r>
      <w:r w:rsidR="00AA7FE8">
        <w:t xml:space="preserve">2025 </w:t>
      </w:r>
      <w:r w:rsidR="00823C51">
        <w:t xml:space="preserve">Workplan </w:t>
      </w:r>
      <w:r w:rsidR="004E599D">
        <w:t>assigns and schedules</w:t>
      </w:r>
      <w:r w:rsidR="00B35D86">
        <w:t xml:space="preserve"> Task Forces to</w:t>
      </w:r>
      <w:r w:rsidR="00745AF8">
        <w:t xml:space="preserve"> develop prioritized Concepts into Proposals ready for comment. </w:t>
      </w:r>
      <w:r>
        <w:t>WPP</w:t>
      </w:r>
      <w:r w:rsidR="0063565B">
        <w:t>,</w:t>
      </w:r>
      <w:r>
        <w:t xml:space="preserve"> as Program Administrator</w:t>
      </w:r>
      <w:r w:rsidR="0063565B">
        <w:t>,</w:t>
      </w:r>
      <w:r>
        <w:t xml:space="preserve"> compiled </w:t>
      </w:r>
      <w:r w:rsidR="00FC704E">
        <w:t xml:space="preserve">the </w:t>
      </w:r>
      <w:r>
        <w:t xml:space="preserve">completed CRFs submitted in 2024 to facilitate the PRC’s development of </w:t>
      </w:r>
      <w:r w:rsidR="006D679A">
        <w:t>this</w:t>
      </w:r>
      <w:r>
        <w:t xml:space="preserve"> Workplan </w:t>
      </w:r>
      <w:r w:rsidR="006D679A">
        <w:t>(see</w:t>
      </w:r>
      <w:r w:rsidR="00CF2183">
        <w:t xml:space="preserve"> </w:t>
      </w:r>
      <w:r w:rsidR="00CF2183">
        <w:fldChar w:fldCharType="begin"/>
      </w:r>
      <w:r w:rsidR="00CF2183">
        <w:instrText xml:space="preserve"> REF _Ref189748207 \h </w:instrText>
      </w:r>
      <w:r w:rsidR="00CF2183">
        <w:fldChar w:fldCharType="separate"/>
      </w:r>
      <w:r w:rsidR="00114611">
        <w:t xml:space="preserve">Appendix A - </w:t>
      </w:r>
      <w:r w:rsidR="00114611" w:rsidRPr="009A230E">
        <w:t>Change Request Form Compilation</w:t>
      </w:r>
      <w:r w:rsidR="00CF2183">
        <w:fldChar w:fldCharType="end"/>
      </w:r>
      <w:r w:rsidR="001C066F">
        <w:t>)</w:t>
      </w:r>
      <w:r w:rsidR="004A3051">
        <w:t>.</w:t>
      </w:r>
    </w:p>
    <w:p w14:paraId="24F407B8" w14:textId="1B947B86" w:rsidR="005A621F" w:rsidRDefault="00934C1E" w:rsidP="00934C1E">
      <w:r>
        <w:t>The</w:t>
      </w:r>
      <w:r w:rsidRPr="00EA0D6D">
        <w:t xml:space="preserve"> PRC </w:t>
      </w:r>
      <w:r w:rsidR="00290A88">
        <w:t xml:space="preserve">was required to prioritize </w:t>
      </w:r>
      <w:r w:rsidR="004A3051">
        <w:t>the</w:t>
      </w:r>
      <w:r w:rsidR="004F6AC4">
        <w:t xml:space="preserve"> </w:t>
      </w:r>
      <w:r w:rsidRPr="00EA0D6D">
        <w:t>Concepts</w:t>
      </w:r>
      <w:r w:rsidR="004F6AC4">
        <w:t xml:space="preserve"> submitted in 2024</w:t>
      </w:r>
      <w:r w:rsidRPr="00EA0D6D">
        <w:t xml:space="preserve"> by February 1</w:t>
      </w:r>
      <w:r w:rsidRPr="009C5B79">
        <w:rPr>
          <w:vertAlign w:val="superscript"/>
        </w:rPr>
        <w:t>st</w:t>
      </w:r>
      <w:r>
        <w:t>, 2025,</w:t>
      </w:r>
      <w:r w:rsidRPr="00EA0D6D">
        <w:t xml:space="preserve"> using a PRC-determined method </w:t>
      </w:r>
      <w:r w:rsidR="004A3051">
        <w:t>and</w:t>
      </w:r>
      <w:r w:rsidRPr="00EA0D6D">
        <w:t xml:space="preserve"> criteria</w:t>
      </w:r>
      <w:r w:rsidR="00A018B6">
        <w:t>. The prioritization</w:t>
      </w:r>
      <w:r w:rsidR="00C8787E">
        <w:t xml:space="preserve"> exercise took place</w:t>
      </w:r>
      <w:r w:rsidR="004D7380">
        <w:t xml:space="preserve"> in Tempe, Arizona, on January </w:t>
      </w:r>
      <w:r w:rsidR="0089019F">
        <w:t>2</w:t>
      </w:r>
      <w:r w:rsidR="00FB3C56">
        <w:t>3</w:t>
      </w:r>
      <w:r w:rsidR="00FB3C56">
        <w:rPr>
          <w:vertAlign w:val="superscript"/>
        </w:rPr>
        <w:t>rd</w:t>
      </w:r>
      <w:r w:rsidR="00097BB5">
        <w:t>,</w:t>
      </w:r>
      <w:r w:rsidR="0089019F">
        <w:t xml:space="preserve"> 2025</w:t>
      </w:r>
      <w:r w:rsidRPr="00EA0D6D">
        <w:t xml:space="preserve"> </w:t>
      </w:r>
      <w:r w:rsidR="00C26D29">
        <w:t xml:space="preserve">(see Section </w:t>
      </w:r>
      <w:r w:rsidR="00C26D29">
        <w:fldChar w:fldCharType="begin"/>
      </w:r>
      <w:r w:rsidR="00C26D29">
        <w:instrText xml:space="preserve"> REF _Ref189832792 \r \h </w:instrText>
      </w:r>
      <w:r w:rsidR="00C26D29">
        <w:fldChar w:fldCharType="separate"/>
      </w:r>
      <w:r w:rsidR="00114611">
        <w:t>2</w:t>
      </w:r>
      <w:r w:rsidR="00C26D29">
        <w:fldChar w:fldCharType="end"/>
      </w:r>
      <w:r w:rsidR="00C26D29">
        <w:t>)</w:t>
      </w:r>
      <w:r w:rsidR="00141216">
        <w:t>.</w:t>
      </w:r>
      <w:r w:rsidR="00097BB5">
        <w:t xml:space="preserve"> By February 15</w:t>
      </w:r>
      <w:r w:rsidR="00097BB5" w:rsidRPr="00097BB5">
        <w:rPr>
          <w:vertAlign w:val="superscript"/>
        </w:rPr>
        <w:t>th</w:t>
      </w:r>
      <w:r w:rsidR="00097BB5">
        <w:t>, 2025, t</w:t>
      </w:r>
      <w:r w:rsidR="00413AA7">
        <w:t>he Program Administrator and the Program Operator (Southwest Power Pool or SPP)</w:t>
      </w:r>
      <w:r w:rsidR="00EC2155">
        <w:t xml:space="preserve"> were required to </w:t>
      </w:r>
      <w:r w:rsidR="00A919DA">
        <w:t xml:space="preserve">provide the PRC with </w:t>
      </w:r>
      <w:r w:rsidR="00F024B3">
        <w:t>a level of effort review</w:t>
      </w:r>
      <w:r w:rsidR="00356496">
        <w:t xml:space="preserve">, </w:t>
      </w:r>
      <w:r w:rsidR="00E47D48">
        <w:t xml:space="preserve">proposing a schedule for </w:t>
      </w:r>
      <w:r w:rsidR="004B0602">
        <w:t>Task Force</w:t>
      </w:r>
      <w:r w:rsidR="00E47D48">
        <w:t>s</w:t>
      </w:r>
      <w:r w:rsidR="004B0602">
        <w:t xml:space="preserve"> to</w:t>
      </w:r>
      <w:r w:rsidR="00E63A00">
        <w:t xml:space="preserve"> develop </w:t>
      </w:r>
      <w:r w:rsidR="00D71A8E">
        <w:t xml:space="preserve">the </w:t>
      </w:r>
      <w:r w:rsidR="00E47D48">
        <w:t>prioritized Concepts</w:t>
      </w:r>
      <w:r w:rsidR="00D71A8E">
        <w:t xml:space="preserve"> into Proposal</w:t>
      </w:r>
      <w:r w:rsidR="00D83935">
        <w:t>s</w:t>
      </w:r>
      <w:r w:rsidR="00D71A8E">
        <w:t xml:space="preserve"> ready for comment</w:t>
      </w:r>
      <w:r w:rsidR="007D16E6">
        <w:t xml:space="preserve"> (see</w:t>
      </w:r>
      <w:r w:rsidR="00E47D48">
        <w:t xml:space="preserve"> Section </w:t>
      </w:r>
      <w:r w:rsidR="00E47D48">
        <w:fldChar w:fldCharType="begin"/>
      </w:r>
      <w:r w:rsidR="00E47D48">
        <w:instrText xml:space="preserve"> REF _Ref191375708 \r \h </w:instrText>
      </w:r>
      <w:r w:rsidR="00E47D48">
        <w:fldChar w:fldCharType="separate"/>
      </w:r>
      <w:r w:rsidR="00114611">
        <w:t>3</w:t>
      </w:r>
      <w:r w:rsidR="00E47D48">
        <w:fldChar w:fldCharType="end"/>
      </w:r>
      <w:r w:rsidR="004B0602">
        <w:t>)</w:t>
      </w:r>
      <w:r w:rsidR="00944E5F">
        <w:t xml:space="preserve"> </w:t>
      </w:r>
      <w:r w:rsidR="00EB355B">
        <w:t xml:space="preserve">along with </w:t>
      </w:r>
      <w:r w:rsidR="00944E5F">
        <w:t xml:space="preserve">a plan of action to work through </w:t>
      </w:r>
      <w:r w:rsidR="00EB355B">
        <w:t xml:space="preserve">any unscheduled </w:t>
      </w:r>
      <w:r w:rsidR="00944E5F">
        <w:t>prioritized concepts</w:t>
      </w:r>
      <w:r w:rsidR="00EB355B">
        <w:t xml:space="preserve"> should time become available (see Section </w:t>
      </w:r>
      <w:r w:rsidR="00EB355B">
        <w:fldChar w:fldCharType="begin"/>
      </w:r>
      <w:r w:rsidR="00EB355B">
        <w:instrText xml:space="preserve"> REF _Ref191390899 \r \h </w:instrText>
      </w:r>
      <w:r w:rsidR="00EB355B">
        <w:fldChar w:fldCharType="separate"/>
      </w:r>
      <w:r w:rsidR="00114611">
        <w:t>4</w:t>
      </w:r>
      <w:r w:rsidR="00EB355B">
        <w:fldChar w:fldCharType="end"/>
      </w:r>
      <w:r w:rsidR="009B7A8D">
        <w:t>)</w:t>
      </w:r>
      <w:r w:rsidR="004B0602">
        <w:t>.</w:t>
      </w:r>
      <w:r w:rsidR="00DF608C">
        <w:t xml:space="preserve"> </w:t>
      </w:r>
    </w:p>
    <w:p w14:paraId="5F9804B6" w14:textId="604E1CD9" w:rsidR="000C769E" w:rsidRPr="00E80208" w:rsidRDefault="009B7A8D" w:rsidP="00934C1E">
      <w:r w:rsidRPr="00E80208">
        <w:t>A draft of</w:t>
      </w:r>
      <w:r w:rsidR="00DF608C" w:rsidRPr="00E80208">
        <w:t xml:space="preserve"> </w:t>
      </w:r>
      <w:r w:rsidR="00B625D3" w:rsidRPr="00E80208">
        <w:t xml:space="preserve">this </w:t>
      </w:r>
      <w:r w:rsidRPr="00E80208">
        <w:t xml:space="preserve">2025 Workplan </w:t>
      </w:r>
      <w:r w:rsidR="00F52D39" w:rsidRPr="00E80208">
        <w:t xml:space="preserve">was </w:t>
      </w:r>
      <w:r w:rsidR="009542FD" w:rsidRPr="00E80208">
        <w:t>made available for stakeholder review between</w:t>
      </w:r>
      <w:r w:rsidR="00344D30" w:rsidRPr="00E80208">
        <w:t xml:space="preserve"> March 15</w:t>
      </w:r>
      <w:r w:rsidR="00344D30" w:rsidRPr="00E80208">
        <w:rPr>
          <w:vertAlign w:val="superscript"/>
        </w:rPr>
        <w:t>th</w:t>
      </w:r>
      <w:r w:rsidR="009542FD" w:rsidRPr="00E80208">
        <w:t xml:space="preserve"> and </w:t>
      </w:r>
      <w:r w:rsidR="00344D30" w:rsidRPr="00E80208">
        <w:t xml:space="preserve">April </w:t>
      </w:r>
      <w:r w:rsidR="005A621F" w:rsidRPr="00E80208">
        <w:t>15</w:t>
      </w:r>
      <w:r w:rsidR="009542FD" w:rsidRPr="00E80208">
        <w:t>th</w:t>
      </w:r>
      <w:r w:rsidR="005A621F" w:rsidRPr="00E80208">
        <w:t>, 2025.</w:t>
      </w:r>
      <w:r w:rsidR="00254C27" w:rsidRPr="00E80208">
        <w:t xml:space="preserve"> WPP </w:t>
      </w:r>
      <w:r w:rsidR="009542FD" w:rsidRPr="00E80208">
        <w:t>compiled</w:t>
      </w:r>
      <w:r w:rsidR="00254C27" w:rsidRPr="00E80208">
        <w:t xml:space="preserve"> all comments received</w:t>
      </w:r>
      <w:r w:rsidR="00EF1F71" w:rsidRPr="00E80208">
        <w:t xml:space="preserve"> </w:t>
      </w:r>
      <w:proofErr w:type="gramStart"/>
      <w:r w:rsidR="00EF1F71" w:rsidRPr="00E80208">
        <w:t>for</w:t>
      </w:r>
      <w:proofErr w:type="gramEnd"/>
      <w:r w:rsidR="00EF1F71" w:rsidRPr="00E80208">
        <w:t xml:space="preserve"> the </w:t>
      </w:r>
      <w:r w:rsidR="00254C27" w:rsidRPr="00E80208">
        <w:t>PRC to consider</w:t>
      </w:r>
      <w:r w:rsidR="00B91FE2" w:rsidRPr="00E80208">
        <w:t xml:space="preserve"> and revise the draft Workplan</w:t>
      </w:r>
      <w:r w:rsidR="00EF68DB" w:rsidRPr="00E80208">
        <w:t xml:space="preserve"> </w:t>
      </w:r>
      <w:r w:rsidR="00B91FE2" w:rsidRPr="00E80208">
        <w:t xml:space="preserve">as </w:t>
      </w:r>
      <w:r w:rsidR="00451926" w:rsidRPr="00E80208">
        <w:t>the committee</w:t>
      </w:r>
      <w:r w:rsidR="00B91FE2" w:rsidRPr="00E80208">
        <w:t xml:space="preserve"> </w:t>
      </w:r>
      <w:proofErr w:type="gramStart"/>
      <w:r w:rsidR="00B91FE2" w:rsidRPr="00E80208">
        <w:t>s</w:t>
      </w:r>
      <w:r w:rsidR="00175735" w:rsidRPr="00E80208">
        <w:t>aw</w:t>
      </w:r>
      <w:r w:rsidR="00B91FE2" w:rsidRPr="00E80208">
        <w:t xml:space="preserve"> fit</w:t>
      </w:r>
      <w:proofErr w:type="gramEnd"/>
      <w:r w:rsidR="00EF68DB" w:rsidRPr="00E80208">
        <w:t xml:space="preserve"> </w:t>
      </w:r>
      <w:r w:rsidR="00451926" w:rsidRPr="00E80208">
        <w:t>by May 15</w:t>
      </w:r>
      <w:r w:rsidR="00451926" w:rsidRPr="00E80208">
        <w:rPr>
          <w:vertAlign w:val="superscript"/>
        </w:rPr>
        <w:t>th</w:t>
      </w:r>
      <w:r w:rsidR="00451926" w:rsidRPr="00E80208">
        <w:t>, 2025</w:t>
      </w:r>
      <w:r w:rsidR="00903B56" w:rsidRPr="00E80208">
        <w:t xml:space="preserve"> (</w:t>
      </w:r>
      <w:r w:rsidR="000E7E5A" w:rsidRPr="00E80208">
        <w:t xml:space="preserve">see Section </w:t>
      </w:r>
      <w:r w:rsidR="000E7E5A" w:rsidRPr="00E80208">
        <w:fldChar w:fldCharType="begin"/>
      </w:r>
      <w:r w:rsidR="000E7E5A" w:rsidRPr="00E80208">
        <w:instrText xml:space="preserve"> REF _Ref191462824 \r \h </w:instrText>
      </w:r>
      <w:r w:rsidR="000E7E5A" w:rsidRPr="00E80208">
        <w:fldChar w:fldCharType="separate"/>
      </w:r>
      <w:r w:rsidR="00114611">
        <w:t>5</w:t>
      </w:r>
      <w:r w:rsidR="000E7E5A" w:rsidRPr="00E80208">
        <w:fldChar w:fldCharType="end"/>
      </w:r>
      <w:r w:rsidR="000C769E" w:rsidRPr="00E80208">
        <w:t>)</w:t>
      </w:r>
      <w:r w:rsidR="00451926" w:rsidRPr="00E80208">
        <w:t>.</w:t>
      </w:r>
      <w:r w:rsidR="00A07CDC" w:rsidRPr="00E80208">
        <w:t xml:space="preserve"> The revised draft Workplan </w:t>
      </w:r>
      <w:r w:rsidR="00EE4783" w:rsidRPr="00E80208">
        <w:t>and a summary of co</w:t>
      </w:r>
      <w:r w:rsidR="00220ABA" w:rsidRPr="00E80208">
        <w:t xml:space="preserve">mments </w:t>
      </w:r>
      <w:r w:rsidR="00707689" w:rsidRPr="00E80208">
        <w:t>received</w:t>
      </w:r>
      <w:r w:rsidR="00220ABA" w:rsidRPr="00E80208">
        <w:t xml:space="preserve"> </w:t>
      </w:r>
      <w:r w:rsidR="000C769E" w:rsidRPr="00E80208">
        <w:t>was</w:t>
      </w:r>
      <w:r w:rsidR="00A07CDC" w:rsidRPr="00E80208">
        <w:t xml:space="preserve"> </w:t>
      </w:r>
      <w:r w:rsidR="000C769E" w:rsidRPr="00E80208">
        <w:t>distributed to the</w:t>
      </w:r>
      <w:r w:rsidR="00A07CDC" w:rsidRPr="00E80208">
        <w:t xml:space="preserve"> Board and the</w:t>
      </w:r>
      <w:r w:rsidR="00EE4783" w:rsidRPr="00E80208">
        <w:t xml:space="preserve"> </w:t>
      </w:r>
      <w:r w:rsidR="003744CB" w:rsidRPr="00E80208">
        <w:t>Resource Adequacy Participant Committee (</w:t>
      </w:r>
      <w:r w:rsidR="00EE4783" w:rsidRPr="00E80208">
        <w:t>RA</w:t>
      </w:r>
      <w:r w:rsidR="00220ABA" w:rsidRPr="00E80208">
        <w:t>PC</w:t>
      </w:r>
      <w:r w:rsidR="003744CB" w:rsidRPr="00E80208">
        <w:t>)</w:t>
      </w:r>
      <w:r w:rsidR="00220ABA" w:rsidRPr="00E80208">
        <w:t xml:space="preserve"> </w:t>
      </w:r>
      <w:r w:rsidR="000C769E" w:rsidRPr="00E80208">
        <w:t>and</w:t>
      </w:r>
      <w:r w:rsidR="00220ABA" w:rsidRPr="00E80208">
        <w:t xml:space="preserve"> made available publicly </w:t>
      </w:r>
      <w:r w:rsidR="000C769E" w:rsidRPr="00E80208">
        <w:t xml:space="preserve">on </w:t>
      </w:r>
      <w:r w:rsidR="00220ABA" w:rsidRPr="00E80208">
        <w:t>May 1</w:t>
      </w:r>
      <w:r w:rsidR="00520B15" w:rsidRPr="00E80208">
        <w:t>5</w:t>
      </w:r>
      <w:r w:rsidR="00220ABA" w:rsidRPr="00E80208">
        <w:t>.</w:t>
      </w:r>
      <w:r w:rsidR="00520B15" w:rsidRPr="00E80208">
        <w:t xml:space="preserve"> </w:t>
      </w:r>
    </w:p>
    <w:p w14:paraId="19C73CFD" w14:textId="4819036C" w:rsidR="00775658" w:rsidRPr="004E2517" w:rsidRDefault="00520B15">
      <w:r w:rsidRPr="004E2517">
        <w:lastRenderedPageBreak/>
        <w:t>The Board consider</w:t>
      </w:r>
      <w:r w:rsidR="007F58F0">
        <w:t>ed</w:t>
      </w:r>
      <w:r w:rsidRPr="004E2517">
        <w:t xml:space="preserve"> and act</w:t>
      </w:r>
      <w:r w:rsidR="007F58F0">
        <w:t>ed</w:t>
      </w:r>
      <w:r w:rsidRPr="004E2517">
        <w:t xml:space="preserve"> on the Workplan in public session </w:t>
      </w:r>
      <w:r w:rsidR="007F58F0">
        <w:t>at</w:t>
      </w:r>
      <w:r w:rsidRPr="004E2517">
        <w:t xml:space="preserve"> its next quarterly Board meeting</w:t>
      </w:r>
      <w:r w:rsidR="00185B3C" w:rsidRPr="004E2517">
        <w:t xml:space="preserve"> (June</w:t>
      </w:r>
      <w:r w:rsidR="007F58F0">
        <w:t xml:space="preserve"> 25</w:t>
      </w:r>
      <w:r w:rsidR="007F58F0" w:rsidRPr="007F58F0">
        <w:rPr>
          <w:vertAlign w:val="superscript"/>
        </w:rPr>
        <w:t>th</w:t>
      </w:r>
      <w:r w:rsidR="007F58F0">
        <w:t>, 2025</w:t>
      </w:r>
      <w:r w:rsidR="00185B3C" w:rsidRPr="004E2517">
        <w:t>)</w:t>
      </w:r>
      <w:r w:rsidRPr="004E2517">
        <w:t xml:space="preserve">, during which RAPC and other stakeholders </w:t>
      </w:r>
      <w:r w:rsidR="00223CFD">
        <w:t>had</w:t>
      </w:r>
      <w:r w:rsidRPr="004E2517">
        <w:t xml:space="preserve"> the opportunity to express any</w:t>
      </w:r>
      <w:r w:rsidR="00185B3C" w:rsidRPr="004E2517">
        <w:t xml:space="preserve"> opinions</w:t>
      </w:r>
      <w:r w:rsidR="000C769E" w:rsidRPr="004E2517">
        <w:t xml:space="preserve"> (see </w:t>
      </w:r>
      <w:r w:rsidR="00AC4456" w:rsidRPr="004E2517">
        <w:t>Section</w:t>
      </w:r>
      <w:r w:rsidR="00223CFD">
        <w:t xml:space="preserve"> </w:t>
      </w:r>
      <w:r w:rsidR="00223CFD">
        <w:fldChar w:fldCharType="begin"/>
      </w:r>
      <w:r w:rsidR="00223CFD">
        <w:instrText xml:space="preserve"> REF _Ref202174930 \r \h </w:instrText>
      </w:r>
      <w:r w:rsidR="00223CFD">
        <w:fldChar w:fldCharType="separate"/>
      </w:r>
      <w:r w:rsidR="00223CFD">
        <w:t>7</w:t>
      </w:r>
      <w:r w:rsidR="00223CFD">
        <w:fldChar w:fldCharType="end"/>
      </w:r>
      <w:r w:rsidR="00AC4456" w:rsidRPr="004E2517">
        <w:t>)</w:t>
      </w:r>
      <w:r w:rsidR="00185B3C" w:rsidRPr="004E2517">
        <w:t xml:space="preserve">. </w:t>
      </w:r>
      <w:r w:rsidR="00727A95" w:rsidRPr="004E2517">
        <w:t xml:space="preserve">The final </w:t>
      </w:r>
      <w:r w:rsidR="00934C1E" w:rsidRPr="004E2517">
        <w:t xml:space="preserve">Workplan approved by the </w:t>
      </w:r>
      <w:r w:rsidR="00185B3C" w:rsidRPr="004E2517">
        <w:t>Board</w:t>
      </w:r>
      <w:r w:rsidR="00934C1E" w:rsidRPr="004E2517">
        <w:t xml:space="preserve"> </w:t>
      </w:r>
      <w:proofErr w:type="gramStart"/>
      <w:r w:rsidR="0061282E">
        <w:t xml:space="preserve">identified </w:t>
      </w:r>
      <w:r w:rsidR="00934C1E" w:rsidRPr="004E2517">
        <w:t xml:space="preserve"> Concepts</w:t>
      </w:r>
      <w:proofErr w:type="gramEnd"/>
      <w:r w:rsidR="00934C1E" w:rsidRPr="004E2517">
        <w:t xml:space="preserve"> to be developed into full Proposals by Task Forces</w:t>
      </w:r>
      <w:r w:rsidR="00D16C17" w:rsidRPr="004E2517">
        <w:t xml:space="preserve"> that</w:t>
      </w:r>
      <w:r w:rsidR="00934C1E" w:rsidRPr="004E2517">
        <w:t xml:space="preserve"> will then be distributed for comment</w:t>
      </w:r>
      <w:r w:rsidR="000310C5" w:rsidRPr="004E2517">
        <w:t xml:space="preserve"> and potential adoption per </w:t>
      </w:r>
      <w:r w:rsidR="00631F3E" w:rsidRPr="004E2517">
        <w:rPr>
          <w:i/>
          <w:iCs/>
        </w:rPr>
        <w:t>BPM 302 Proposal Development and Consideration</w:t>
      </w:r>
      <w:r w:rsidR="00934C1E" w:rsidRPr="004E2517">
        <w:t>.</w:t>
      </w:r>
    </w:p>
    <w:p w14:paraId="0BC53F49" w14:textId="4C214245" w:rsidR="009A5863" w:rsidRDefault="00436BCE" w:rsidP="003441FD">
      <w:pPr>
        <w:pStyle w:val="Heading1"/>
        <w:numPr>
          <w:ilvl w:val="0"/>
          <w:numId w:val="21"/>
        </w:numPr>
      </w:pPr>
      <w:bookmarkStart w:id="3" w:name="_Ref189832792"/>
      <w:bookmarkStart w:id="4" w:name="_Toc202175304"/>
      <w:r>
        <w:t>PRC Prioritization Exercise</w:t>
      </w:r>
      <w:bookmarkEnd w:id="3"/>
      <w:bookmarkEnd w:id="4"/>
    </w:p>
    <w:p w14:paraId="403FCE75" w14:textId="1C5A4627" w:rsidR="00801483" w:rsidRDefault="00866478" w:rsidP="000F0229">
      <w:r>
        <w:t xml:space="preserve">The </w:t>
      </w:r>
      <w:r w:rsidR="00CF1BDE">
        <w:t xml:space="preserve">compiled list of concepts (CRF Compilation) was </w:t>
      </w:r>
      <w:r w:rsidR="00BB1101">
        <w:t>presented</w:t>
      </w:r>
      <w:r w:rsidR="00CF1BDE">
        <w:t xml:space="preserve"> to the PRC </w:t>
      </w:r>
      <w:r w:rsidR="00CB28A8">
        <w:t>on January</w:t>
      </w:r>
      <w:r w:rsidR="00855563">
        <w:t xml:space="preserve"> 8</w:t>
      </w:r>
      <w:r w:rsidR="00855563" w:rsidRPr="00855563">
        <w:rPr>
          <w:vertAlign w:val="superscript"/>
        </w:rPr>
        <w:t>th</w:t>
      </w:r>
      <w:r w:rsidR="0001259F">
        <w:t>, 2025</w:t>
      </w:r>
      <w:r w:rsidR="00855563">
        <w:t>, for consideration at its meeting on January 15</w:t>
      </w:r>
      <w:r w:rsidR="00855563" w:rsidRPr="00855563">
        <w:rPr>
          <w:vertAlign w:val="superscript"/>
        </w:rPr>
        <w:t>th</w:t>
      </w:r>
      <w:r w:rsidR="00855563">
        <w:t>, 2025</w:t>
      </w:r>
      <w:r w:rsidR="005C607C">
        <w:t xml:space="preserve"> (see </w:t>
      </w:r>
      <w:r w:rsidR="005C607C">
        <w:fldChar w:fldCharType="begin"/>
      </w:r>
      <w:r w:rsidR="005C607C">
        <w:instrText xml:space="preserve"> REF _Ref189748207 \h </w:instrText>
      </w:r>
      <w:r w:rsidR="005C607C">
        <w:fldChar w:fldCharType="separate"/>
      </w:r>
      <w:r w:rsidR="00114611">
        <w:t xml:space="preserve">Appendix A - </w:t>
      </w:r>
      <w:r w:rsidR="00114611" w:rsidRPr="009A230E">
        <w:t>Change Request Form Compilation</w:t>
      </w:r>
      <w:r w:rsidR="005C607C">
        <w:fldChar w:fldCharType="end"/>
      </w:r>
      <w:r w:rsidR="005C607C">
        <w:t>)</w:t>
      </w:r>
      <w:r w:rsidR="0001259F">
        <w:t>.</w:t>
      </w:r>
      <w:r w:rsidR="005F74D4">
        <w:t xml:space="preserve"> </w:t>
      </w:r>
      <w:r w:rsidR="00770386">
        <w:t>Thirty-five C</w:t>
      </w:r>
      <w:r w:rsidR="00147C15">
        <w:t xml:space="preserve">RFs were submitted in </w:t>
      </w:r>
      <w:r w:rsidR="000603BB">
        <w:t>2024, of whic</w:t>
      </w:r>
      <w:r w:rsidR="00C2239A">
        <w:t xml:space="preserve">h four were requests for Non-Task Force Proposals </w:t>
      </w:r>
      <w:r w:rsidR="00BB1101">
        <w:t xml:space="preserve">(NTFPs) </w:t>
      </w:r>
      <w:r w:rsidR="00C2239A">
        <w:t>that do not</w:t>
      </w:r>
      <w:r w:rsidR="00297834">
        <w:t xml:space="preserve"> need to</w:t>
      </w:r>
      <w:r w:rsidR="00C2239A">
        <w:t xml:space="preserve"> </w:t>
      </w:r>
      <w:r w:rsidR="00297834">
        <w:t>be considered for inclusion in</w:t>
      </w:r>
      <w:r w:rsidR="00C2239A">
        <w:t xml:space="preserve"> a Workplan. Through a combination </w:t>
      </w:r>
      <w:r w:rsidR="0051321B">
        <w:t xml:space="preserve">of consolidations and withdrawals </w:t>
      </w:r>
      <w:r w:rsidR="00304E9E">
        <w:t>the number</w:t>
      </w:r>
      <w:r w:rsidR="0051321B">
        <w:t xml:space="preserve"> of Concepts in the CRF</w:t>
      </w:r>
      <w:r w:rsidR="00EE02BD">
        <w:t xml:space="preserve"> Compilation</w:t>
      </w:r>
      <w:r w:rsidR="007528C0">
        <w:t xml:space="preserve"> was reduced to </w:t>
      </w:r>
      <w:r w:rsidR="00164AAE">
        <w:t>22</w:t>
      </w:r>
      <w:r w:rsidR="00DB63A2">
        <w:t>.</w:t>
      </w:r>
    </w:p>
    <w:p w14:paraId="0021351C" w14:textId="32BCB9A3" w:rsidR="00B5345D" w:rsidRDefault="00DB63A2" w:rsidP="000F0229">
      <w:r>
        <w:t xml:space="preserve"> </w:t>
      </w:r>
      <w:r w:rsidR="00125247">
        <w:t xml:space="preserve">As part of the CRF Compilation, </w:t>
      </w:r>
      <w:r w:rsidR="00155794">
        <w:t>and a</w:t>
      </w:r>
      <w:r w:rsidR="009D399E">
        <w:t>t the direction of the PRC</w:t>
      </w:r>
      <w:r w:rsidR="00155794">
        <w:t>,</w:t>
      </w:r>
      <w:r w:rsidR="009D399E">
        <w:t xml:space="preserve"> </w:t>
      </w:r>
      <w:r w:rsidR="005F74D4">
        <w:t>WPP undertook a high-level level of effor</w:t>
      </w:r>
      <w:r w:rsidR="005D59FB">
        <w:t xml:space="preserve">t </w:t>
      </w:r>
      <w:r w:rsidR="001B639C">
        <w:t>review</w:t>
      </w:r>
      <w:r w:rsidR="00DE4F05">
        <w:t xml:space="preserve"> </w:t>
      </w:r>
      <w:r w:rsidR="005D59FB">
        <w:t>with the aim of assisting the committee</w:t>
      </w:r>
      <w:r w:rsidR="00EC222A">
        <w:t xml:space="preserve"> in</w:t>
      </w:r>
      <w:r w:rsidR="001B639C">
        <w:t xml:space="preserve"> its</w:t>
      </w:r>
      <w:r w:rsidR="00052B56">
        <w:t xml:space="preserve"> next steps in Workplan Development: </w:t>
      </w:r>
      <w:r w:rsidR="00947410">
        <w:t xml:space="preserve">Concept </w:t>
      </w:r>
      <w:r w:rsidR="007A0E4E">
        <w:t>prioritiz</w:t>
      </w:r>
      <w:r w:rsidR="00052B56">
        <w:t>ation</w:t>
      </w:r>
      <w:r w:rsidR="007A0E4E">
        <w:t xml:space="preserve">. </w:t>
      </w:r>
      <w:r w:rsidR="001322B0">
        <w:t>As part of this</w:t>
      </w:r>
      <w:r w:rsidR="00B5345D">
        <w:t xml:space="preserve"> high-level level of effort review</w:t>
      </w:r>
      <w:r w:rsidR="001322B0">
        <w:t xml:space="preserve"> each Concept was tagged</w:t>
      </w:r>
      <w:r w:rsidR="006817F3">
        <w:t xml:space="preserve"> according to the Wrap Area impacted and </w:t>
      </w:r>
      <w:r w:rsidR="001B639C">
        <w:t xml:space="preserve">given </w:t>
      </w:r>
      <w:r w:rsidR="006817F3">
        <w:t xml:space="preserve">an estimated Time </w:t>
      </w:r>
      <w:r w:rsidR="00801483">
        <w:t>Score.</w:t>
      </w:r>
      <w:r w:rsidR="00265BCA">
        <w:t xml:space="preserve"> For the 2025 Wor</w:t>
      </w:r>
      <w:r w:rsidR="006307CD">
        <w:t>k</w:t>
      </w:r>
      <w:r w:rsidR="00265BCA">
        <w:t>plan the Concepts</w:t>
      </w:r>
      <w:r w:rsidR="000909E1">
        <w:t xml:space="preserve"> were categorized according to the following WRAP Areas: </w:t>
      </w:r>
      <w:r w:rsidR="006307CD">
        <w:t>Forward Showing (FS)</w:t>
      </w:r>
      <w:r w:rsidR="00141E59">
        <w:t xml:space="preserve"> </w:t>
      </w:r>
      <w:r w:rsidR="00011A26">
        <w:t>Capacity Requirement, FS Transmission Requirement, FS Demonstration, Resource Accreditation, and Operations Program</w:t>
      </w:r>
      <w:r w:rsidR="006D2E15">
        <w:t xml:space="preserve">. </w:t>
      </w:r>
      <w:r w:rsidR="00C24924">
        <w:t xml:space="preserve">The </w:t>
      </w:r>
      <w:r w:rsidR="006D2E15">
        <w:t>Time Score</w:t>
      </w:r>
      <w:r w:rsidR="00C24924">
        <w:t xml:space="preserve"> </w:t>
      </w:r>
      <w:r w:rsidR="006D2E15">
        <w:t>was an estimate of approximately how many months a potential Task Force</w:t>
      </w:r>
      <w:r w:rsidR="00CC39C5">
        <w:t xml:space="preserve"> would </w:t>
      </w:r>
      <w:r w:rsidR="009270A1">
        <w:t>need</w:t>
      </w:r>
      <w:r w:rsidR="006D2E15">
        <w:t xml:space="preserve"> </w:t>
      </w:r>
      <w:r w:rsidR="00893F52">
        <w:t xml:space="preserve">to develop a </w:t>
      </w:r>
      <w:r w:rsidR="006D2E15">
        <w:t>Concept into a Pro</w:t>
      </w:r>
      <w:r w:rsidR="00300F60">
        <w:t>posal ready for comment: Short</w:t>
      </w:r>
      <w:r w:rsidR="00477A2A">
        <w:t>/S</w:t>
      </w:r>
      <w:r w:rsidR="00300F60">
        <w:t xml:space="preserve"> (two months</w:t>
      </w:r>
      <w:r w:rsidR="006865E1">
        <w:t>), Medium</w:t>
      </w:r>
      <w:r w:rsidR="00477A2A">
        <w:t>/M</w:t>
      </w:r>
      <w:r w:rsidR="006865E1">
        <w:t xml:space="preserve"> (four months), Long</w:t>
      </w:r>
      <w:r w:rsidR="00477A2A">
        <w:t>/L</w:t>
      </w:r>
      <w:r w:rsidR="006865E1">
        <w:t xml:space="preserve"> (six months).</w:t>
      </w:r>
    </w:p>
    <w:p w14:paraId="6F03C5E6" w14:textId="0C26602D" w:rsidR="00B657A7" w:rsidRDefault="00893F52" w:rsidP="000F0229">
      <w:r>
        <w:t xml:space="preserve">In terms of guidance for reviewing Concepts, </w:t>
      </w:r>
      <w:r w:rsidR="00BD7D11">
        <w:t>Section 3.4.2 of the Tariff states that, “</w:t>
      </w:r>
      <w:r w:rsidR="006F7B5B">
        <w:t>[t]</w:t>
      </w:r>
      <w:r w:rsidR="00BD7D11">
        <w:t xml:space="preserve">he PRC shall establish a process and criteria for </w:t>
      </w:r>
      <w:r w:rsidR="000D17A2">
        <w:t>receiving and reviewing proposed amendments to this Tariff and the Business Practice Manuals. Such review</w:t>
      </w:r>
      <w:r w:rsidR="0051168A">
        <w:t xml:space="preserve"> will include procedures for stakeholder comment.</w:t>
      </w:r>
      <w:r w:rsidR="000861BC">
        <w:t xml:space="preserve">” BPM 301 then provides </w:t>
      </w:r>
      <w:r w:rsidR="00E72E1D">
        <w:t xml:space="preserve">further </w:t>
      </w:r>
      <w:r w:rsidR="000861BC">
        <w:t xml:space="preserve">details on </w:t>
      </w:r>
      <w:r>
        <w:t xml:space="preserve">Concept prioritization </w:t>
      </w:r>
      <w:r w:rsidR="000861BC">
        <w:t xml:space="preserve">and </w:t>
      </w:r>
      <w:r>
        <w:t xml:space="preserve">the </w:t>
      </w:r>
      <w:r w:rsidR="000861BC">
        <w:t>stakeholder comment process:</w:t>
      </w:r>
    </w:p>
    <w:p w14:paraId="0D985077" w14:textId="0CE5FC34" w:rsidR="00E72E1D" w:rsidRDefault="005B0DEF" w:rsidP="005B0DEF">
      <w:pPr>
        <w:ind w:left="360"/>
      </w:pPr>
      <w:r w:rsidRPr="005B0DEF">
        <w:t>The PRC will prioritize Concepts received in the compiled list according to a PRC</w:t>
      </w:r>
      <w:r>
        <w:t>-</w:t>
      </w:r>
      <w:r w:rsidRPr="005B0DEF">
        <w:t xml:space="preserve">determined method involving established criteria. The PRC will aim to reach agreement on prioritization via consensus, however, given a situation where consensus is not </w:t>
      </w:r>
      <w:r w:rsidRPr="005B0DEF">
        <w:lastRenderedPageBreak/>
        <w:t>achieved, the PRC will vote on a prioritized slate of Concepts.</w:t>
      </w:r>
      <w:r w:rsidR="00870D13">
        <w:t xml:space="preserve"> </w:t>
      </w:r>
      <w:r w:rsidR="00870D13" w:rsidRPr="00870D13">
        <w:t xml:space="preserve">This prioritization process will be </w:t>
      </w:r>
      <w:proofErr w:type="gramStart"/>
      <w:r w:rsidR="00870D13" w:rsidRPr="00870D13">
        <w:t>complete</w:t>
      </w:r>
      <w:proofErr w:type="gramEnd"/>
      <w:r w:rsidR="00870D13" w:rsidRPr="00870D13">
        <w:t xml:space="preserve"> by February 1</w:t>
      </w:r>
      <w:r w:rsidR="00870D13">
        <w:t>.</w:t>
      </w:r>
      <w:r w:rsidR="00870D13">
        <w:rPr>
          <w:rStyle w:val="FootnoteReference"/>
        </w:rPr>
        <w:footnoteReference w:id="4"/>
      </w:r>
    </w:p>
    <w:p w14:paraId="72F022E6" w14:textId="25D2865A" w:rsidR="00E31871" w:rsidRDefault="000C2F58" w:rsidP="00E31871">
      <w:r>
        <w:t xml:space="preserve">Concept prioritization </w:t>
      </w:r>
      <w:r w:rsidR="00ED3738">
        <w:t>c</w:t>
      </w:r>
      <w:r>
        <w:t>riteria</w:t>
      </w:r>
      <w:r w:rsidR="009574B7">
        <w:t xml:space="preserve"> were proposed</w:t>
      </w:r>
      <w:r>
        <w:t xml:space="preserve"> to the PRC at </w:t>
      </w:r>
      <w:r w:rsidR="009574B7">
        <w:t xml:space="preserve">the Committee’s </w:t>
      </w:r>
      <w:r>
        <w:t xml:space="preserve">meeting </w:t>
      </w:r>
      <w:r w:rsidR="005161DB">
        <w:t xml:space="preserve">on </w:t>
      </w:r>
      <w:r>
        <w:t>December 18</w:t>
      </w:r>
      <w:r w:rsidRPr="000C2F58">
        <w:rPr>
          <w:vertAlign w:val="superscript"/>
        </w:rPr>
        <w:t>th</w:t>
      </w:r>
      <w:r>
        <w:t>, 2024.</w:t>
      </w:r>
      <w:r w:rsidR="00F53B0A">
        <w:t xml:space="preserve"> </w:t>
      </w:r>
      <w:r w:rsidR="00B70110">
        <w:t xml:space="preserve"> </w:t>
      </w:r>
      <w:r w:rsidR="006447AE">
        <w:t xml:space="preserve">The </w:t>
      </w:r>
      <w:r w:rsidR="00F53B0A">
        <w:t xml:space="preserve">draft </w:t>
      </w:r>
      <w:r w:rsidR="006447AE">
        <w:t>prioritization method</w:t>
      </w:r>
      <w:r w:rsidR="00B70110">
        <w:t xml:space="preserve"> sought to </w:t>
      </w:r>
      <w:r w:rsidR="006A7C20">
        <w:t>divide the</w:t>
      </w:r>
      <w:r w:rsidR="002A765C">
        <w:t xml:space="preserve"> Concepts </w:t>
      </w:r>
      <w:r w:rsidR="006A7C20">
        <w:t>into</w:t>
      </w:r>
      <w:r w:rsidR="00A810E6">
        <w:t xml:space="preserve"> higher </w:t>
      </w:r>
      <w:r w:rsidR="006A7C20">
        <w:t xml:space="preserve">and lower </w:t>
      </w:r>
      <w:r w:rsidR="00A810E6">
        <w:t xml:space="preserve">priority, </w:t>
      </w:r>
      <w:r w:rsidR="00EA56B4">
        <w:t>then</w:t>
      </w:r>
      <w:r w:rsidR="001D202F">
        <w:t xml:space="preserve"> rank the Concepts within those categories</w:t>
      </w:r>
      <w:r w:rsidR="00B32B1A">
        <w:t>, leading</w:t>
      </w:r>
      <w:r w:rsidR="006A3CAF">
        <w:t xml:space="preserve"> to a fully prioritized </w:t>
      </w:r>
      <w:r w:rsidR="0061502E">
        <w:t xml:space="preserve">list </w:t>
      </w:r>
      <w:r w:rsidR="006A3CAF">
        <w:t>of Concepts.</w:t>
      </w:r>
      <w:r w:rsidR="009111BF">
        <w:t xml:space="preserve"> The PRC</w:t>
      </w:r>
      <w:r w:rsidR="00317603">
        <w:t xml:space="preserve"> agreed </w:t>
      </w:r>
      <w:r w:rsidR="009C68B7">
        <w:t>to move forward with the</w:t>
      </w:r>
      <w:r w:rsidR="00033062">
        <w:t xml:space="preserve"> proposed process without having a formal vote, allowing for future flexibility (see </w:t>
      </w:r>
      <w:r w:rsidR="00033062">
        <w:fldChar w:fldCharType="begin"/>
      </w:r>
      <w:r w:rsidR="00033062">
        <w:instrText xml:space="preserve"> REF _Ref191030019 \h </w:instrText>
      </w:r>
      <w:r w:rsidR="00033062">
        <w:fldChar w:fldCharType="separate"/>
      </w:r>
      <w:r w:rsidR="00114611">
        <w:t>Appendix B – PRC Minutes Dec.</w:t>
      </w:r>
      <w:r w:rsidR="00114611" w:rsidRPr="00543F21">
        <w:t xml:space="preserve"> </w:t>
      </w:r>
      <w:r w:rsidR="00114611">
        <w:t>18</w:t>
      </w:r>
      <w:r w:rsidR="00114611">
        <w:rPr>
          <w:vertAlign w:val="superscript"/>
        </w:rPr>
        <w:t>th</w:t>
      </w:r>
      <w:r w:rsidR="00114611" w:rsidRPr="00543F21">
        <w:t>, 202</w:t>
      </w:r>
      <w:r w:rsidR="00114611">
        <w:t>4</w:t>
      </w:r>
      <w:r w:rsidR="00114611" w:rsidRPr="00543F21">
        <w:t>; 9</w:t>
      </w:r>
      <w:r w:rsidR="00114611">
        <w:t>-</w:t>
      </w:r>
      <w:r w:rsidR="00114611" w:rsidRPr="00543F21">
        <w:t>1</w:t>
      </w:r>
      <w:r w:rsidR="00114611">
        <w:t>0a</w:t>
      </w:r>
      <w:r w:rsidR="00114611" w:rsidRPr="00543F21">
        <w:t xml:space="preserve">m </w:t>
      </w:r>
      <w:r w:rsidR="00114611">
        <w:t>PT</w:t>
      </w:r>
      <w:r w:rsidR="00033062">
        <w:fldChar w:fldCharType="end"/>
      </w:r>
      <w:r w:rsidR="004A11D7">
        <w:t xml:space="preserve">). </w:t>
      </w:r>
    </w:p>
    <w:p w14:paraId="69E7524C" w14:textId="36CF7EA5" w:rsidR="002244E2" w:rsidRDefault="002244E2" w:rsidP="00E31871">
      <w:r>
        <w:t xml:space="preserve">The PRC held a meeting to </w:t>
      </w:r>
      <w:r w:rsidR="00A82C6C">
        <w:t>formally prioritize Concepts for the 2025 Workplan on January 23</w:t>
      </w:r>
      <w:r w:rsidR="00A82C6C" w:rsidRPr="00A82C6C">
        <w:rPr>
          <w:vertAlign w:val="superscript"/>
        </w:rPr>
        <w:t>rd</w:t>
      </w:r>
      <w:r w:rsidR="00A82C6C">
        <w:t>, 2025</w:t>
      </w:r>
      <w:r w:rsidR="00A95F11">
        <w:t xml:space="preserve"> (see </w:t>
      </w:r>
      <w:r w:rsidR="00A95F11">
        <w:fldChar w:fldCharType="begin"/>
      </w:r>
      <w:r w:rsidR="00A95F11">
        <w:instrText xml:space="preserve"> REF _Ref191030613 \h </w:instrText>
      </w:r>
      <w:r w:rsidR="00A95F11">
        <w:fldChar w:fldCharType="separate"/>
      </w:r>
      <w:r w:rsidR="00114611">
        <w:t xml:space="preserve">Appendix C – PRC Minutes </w:t>
      </w:r>
      <w:r w:rsidR="00114611" w:rsidRPr="00543F21">
        <w:t>Jan</w:t>
      </w:r>
      <w:r w:rsidR="00114611">
        <w:t>.</w:t>
      </w:r>
      <w:r w:rsidR="00114611" w:rsidRPr="00543F21">
        <w:t xml:space="preserve"> 23</w:t>
      </w:r>
      <w:r w:rsidR="00114611" w:rsidRPr="00543F21">
        <w:rPr>
          <w:vertAlign w:val="superscript"/>
        </w:rPr>
        <w:t>rd</w:t>
      </w:r>
      <w:r w:rsidR="00114611" w:rsidRPr="00543F21">
        <w:t>, 2025; 9</w:t>
      </w:r>
      <w:r w:rsidR="00114611">
        <w:t>-</w:t>
      </w:r>
      <w:r w:rsidR="00114611" w:rsidRPr="00543F21">
        <w:t>12pm A</w:t>
      </w:r>
      <w:r w:rsidR="00114611">
        <w:t>Z</w:t>
      </w:r>
      <w:r w:rsidR="00A95F11">
        <w:fldChar w:fldCharType="end"/>
      </w:r>
      <w:r w:rsidR="00A95F11">
        <w:t xml:space="preserve">). </w:t>
      </w:r>
      <w:r w:rsidR="004A2629">
        <w:t xml:space="preserve">The initial </w:t>
      </w:r>
      <w:r w:rsidR="00A95F11">
        <w:t xml:space="preserve">Phase </w:t>
      </w:r>
      <w:r w:rsidR="00F72788">
        <w:t xml:space="preserve">0 </w:t>
      </w:r>
      <w:r w:rsidR="004A2629">
        <w:t xml:space="preserve">of the prioritization exercise </w:t>
      </w:r>
      <w:r w:rsidR="00F72788">
        <w:t>saw the Committee</w:t>
      </w:r>
      <w:r w:rsidR="00801DCD">
        <w:t xml:space="preserve"> further consolidate</w:t>
      </w:r>
      <w:r w:rsidR="001C7613">
        <w:t xml:space="preserve"> the </w:t>
      </w:r>
      <w:r w:rsidR="00EB43BA">
        <w:t>22</w:t>
      </w:r>
      <w:r w:rsidR="001C7613">
        <w:t xml:space="preserve"> Concepts in the CRF Compilation down to </w:t>
      </w:r>
      <w:r w:rsidR="00EB43BA">
        <w:t>17</w:t>
      </w:r>
      <w:r w:rsidR="001C7613">
        <w:t xml:space="preserve"> by combining:</w:t>
      </w:r>
    </w:p>
    <w:p w14:paraId="51143A80" w14:textId="50924DCA" w:rsidR="00995A6B" w:rsidRDefault="00820950" w:rsidP="00C41AFE">
      <w:pPr>
        <w:pStyle w:val="ListParagraph"/>
        <w:numPr>
          <w:ilvl w:val="0"/>
          <w:numId w:val="54"/>
        </w:numPr>
      </w:pPr>
      <w:r>
        <w:t>CRF</w:t>
      </w:r>
      <w:r w:rsidR="00434555">
        <w:t>-</w:t>
      </w:r>
      <w:r w:rsidR="002C4FEF">
        <w:t>0</w:t>
      </w:r>
      <w:r w:rsidR="001A5BF9">
        <w:t>11 (</w:t>
      </w:r>
      <w:r w:rsidR="002C4FEF">
        <w:t>SRP</w:t>
      </w:r>
      <w:r w:rsidR="00434555">
        <w:t xml:space="preserve">, </w:t>
      </w:r>
      <w:r w:rsidR="001A5BF9">
        <w:t xml:space="preserve">Load </w:t>
      </w:r>
      <w:r w:rsidR="00434555">
        <w:t>Growth Factor) into CRF-</w:t>
      </w:r>
      <w:r w:rsidR="002C4FEF">
        <w:t>00</w:t>
      </w:r>
      <w:r w:rsidR="00434555">
        <w:t>5</w:t>
      </w:r>
      <w:r w:rsidR="002C4FEF">
        <w:t xml:space="preserve"> (APS, Load Growth Factor</w:t>
      </w:r>
      <w:proofErr w:type="gramStart"/>
      <w:r w:rsidR="002C4FEF">
        <w:t>);</w:t>
      </w:r>
      <w:proofErr w:type="gramEnd"/>
    </w:p>
    <w:p w14:paraId="1913F441" w14:textId="75428400" w:rsidR="002C4FEF" w:rsidRDefault="000D604D" w:rsidP="00C41AFE">
      <w:pPr>
        <w:pStyle w:val="ListParagraph"/>
        <w:numPr>
          <w:ilvl w:val="0"/>
          <w:numId w:val="54"/>
        </w:numPr>
      </w:pPr>
      <w:r>
        <w:t xml:space="preserve">CRF-013 </w:t>
      </w:r>
      <w:r w:rsidR="00C21549">
        <w:t>(</w:t>
      </w:r>
      <w:r w:rsidR="00B8432C">
        <w:t>IPC, Capability Testing Off-Season) into CRF-</w:t>
      </w:r>
      <w:r w:rsidR="00FB7FCC">
        <w:t>010 (SRP, Capability Testing Off-Season</w:t>
      </w:r>
      <w:proofErr w:type="gramStart"/>
      <w:r w:rsidR="00FB7FCC">
        <w:t>)</w:t>
      </w:r>
      <w:r w:rsidR="00DF3A3D">
        <w:t>;</w:t>
      </w:r>
      <w:proofErr w:type="gramEnd"/>
    </w:p>
    <w:p w14:paraId="020028BC" w14:textId="0F7E4DEB" w:rsidR="00DF3A3D" w:rsidRDefault="00DF3A3D" w:rsidP="00C41AFE">
      <w:pPr>
        <w:pStyle w:val="ListParagraph"/>
        <w:numPr>
          <w:ilvl w:val="0"/>
          <w:numId w:val="54"/>
        </w:numPr>
      </w:pPr>
      <w:r>
        <w:t xml:space="preserve">CRF-017 (IPC, </w:t>
      </w:r>
      <w:r w:rsidR="00A615F0">
        <w:t>Monthly P</w:t>
      </w:r>
      <w:r w:rsidR="00E775E9">
        <w:t>lanning Reserve Margin [PRM]</w:t>
      </w:r>
      <w:r w:rsidR="00A615F0">
        <w:t xml:space="preserve"> Volatility) into CRF</w:t>
      </w:r>
      <w:r w:rsidR="00E775E9">
        <w:t>-02 (NVE, Earlier Forward Showing [FS] Metrics</w:t>
      </w:r>
      <w:proofErr w:type="gramStart"/>
      <w:r w:rsidR="00E775E9">
        <w:t>);</w:t>
      </w:r>
      <w:proofErr w:type="gramEnd"/>
      <w:r w:rsidR="00E775E9">
        <w:t xml:space="preserve"> </w:t>
      </w:r>
    </w:p>
    <w:p w14:paraId="308A79DD" w14:textId="240E30CB" w:rsidR="00866613" w:rsidRDefault="00866613" w:rsidP="00C41AFE">
      <w:pPr>
        <w:pStyle w:val="ListParagraph"/>
        <w:numPr>
          <w:ilvl w:val="0"/>
          <w:numId w:val="54"/>
        </w:numPr>
      </w:pPr>
      <w:r>
        <w:t>CRF</w:t>
      </w:r>
      <w:r w:rsidR="00BC7575">
        <w:t>-026 (Form Energy, Indicative Qualif</w:t>
      </w:r>
      <w:r w:rsidR="00DD0586">
        <w:t>ying</w:t>
      </w:r>
      <w:r w:rsidR="00BC7575">
        <w:t xml:space="preserve"> Capacity Contribution</w:t>
      </w:r>
      <w:r w:rsidR="00DD0586">
        <w:t xml:space="preserve"> [QCC])</w:t>
      </w:r>
      <w:r w:rsidR="00643BCA">
        <w:t xml:space="preserve"> into CRF</w:t>
      </w:r>
      <w:r w:rsidR="00CD367D">
        <w:t>-012</w:t>
      </w:r>
      <w:r w:rsidR="00F97E26">
        <w:t xml:space="preserve"> (APS, ELCC by Vintage); </w:t>
      </w:r>
      <w:r w:rsidR="0031274F">
        <w:t>and</w:t>
      </w:r>
    </w:p>
    <w:p w14:paraId="5DC8C652" w14:textId="4F72AAA5" w:rsidR="00C92C85" w:rsidRDefault="00C92C85" w:rsidP="00C41AFE">
      <w:pPr>
        <w:pStyle w:val="ListParagraph"/>
        <w:numPr>
          <w:ilvl w:val="0"/>
          <w:numId w:val="54"/>
        </w:numPr>
      </w:pPr>
      <w:r>
        <w:t>CRF-004 (Day-Ahead Market [DAM] Optimization and CRF-001</w:t>
      </w:r>
      <w:r w:rsidR="0031274F">
        <w:t xml:space="preserve"> SWEDE Transmission Limits).</w:t>
      </w:r>
    </w:p>
    <w:p w14:paraId="4C2C3A60" w14:textId="1BB4006F" w:rsidR="0061569D" w:rsidRDefault="00DB5E90" w:rsidP="009407F4">
      <w:pPr>
        <w:keepNext/>
        <w:rPr>
          <w:noProof/>
        </w:rPr>
      </w:pPr>
      <w:r>
        <w:lastRenderedPageBreak/>
        <w:t>The PRC then proceed</w:t>
      </w:r>
      <w:r w:rsidR="00985CF2">
        <w:t>ed</w:t>
      </w:r>
      <w:r>
        <w:t xml:space="preserve"> to Phase A</w:t>
      </w:r>
      <w:r w:rsidR="00987910">
        <w:t xml:space="preserve">, </w:t>
      </w:r>
      <w:r w:rsidR="001A5591">
        <w:t>dividing</w:t>
      </w:r>
      <w:r w:rsidR="00985CF2">
        <w:t xml:space="preserve"> th</w:t>
      </w:r>
      <w:r w:rsidR="001A5591">
        <w:t>e</w:t>
      </w:r>
      <w:r w:rsidR="00987910">
        <w:t xml:space="preserve"> </w:t>
      </w:r>
      <w:r w:rsidR="00EB43BA">
        <w:t>17</w:t>
      </w:r>
      <w:r w:rsidR="00987910">
        <w:t xml:space="preserve"> </w:t>
      </w:r>
      <w:r w:rsidR="001A5591">
        <w:t xml:space="preserve">consolidated </w:t>
      </w:r>
      <w:r w:rsidR="000A4A02">
        <w:t>Concepts into higher and lower priority using an online polling tool</w:t>
      </w:r>
      <w:r w:rsidR="009407F4">
        <w:t xml:space="preserve">, the results of which are shown in </w:t>
      </w:r>
      <w:r w:rsidR="009407F4">
        <w:fldChar w:fldCharType="begin"/>
      </w:r>
      <w:r w:rsidR="009407F4">
        <w:instrText xml:space="preserve"> REF _Ref191033011 \h </w:instrText>
      </w:r>
      <w:r w:rsidR="009407F4">
        <w:fldChar w:fldCharType="separate"/>
      </w:r>
      <w:r w:rsidR="00114611">
        <w:t xml:space="preserve">Figure </w:t>
      </w:r>
      <w:r w:rsidR="00114611">
        <w:rPr>
          <w:noProof/>
        </w:rPr>
        <w:t>1</w:t>
      </w:r>
      <w:r w:rsidR="009407F4">
        <w:fldChar w:fldCharType="end"/>
      </w:r>
      <w:r w:rsidR="009407F4">
        <w:t>.</w:t>
      </w:r>
      <w:r w:rsidR="0052485D" w:rsidRPr="0052485D">
        <w:rPr>
          <w:noProof/>
        </w:rPr>
        <w:t xml:space="preserve"> </w:t>
      </w:r>
    </w:p>
    <w:p w14:paraId="7CB0598C" w14:textId="6232A68C" w:rsidR="009407F4" w:rsidRDefault="00E86F2F" w:rsidP="009407F4">
      <w:pPr>
        <w:keepNext/>
      </w:pPr>
      <w:r w:rsidRPr="00E86F2F">
        <w:rPr>
          <w:noProof/>
        </w:rPr>
        <w:drawing>
          <wp:inline distT="0" distB="0" distL="0" distR="0" wp14:anchorId="3F06B1E3" wp14:editId="3589B82D">
            <wp:extent cx="5943600" cy="6033770"/>
            <wp:effectExtent l="0" t="0" r="0" b="5080"/>
            <wp:docPr id="735404515" name="Picture 1" descr="A group of numbers and a wrap are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404515" name="Picture 1" descr="A group of numbers and a wrap area&#10;&#10;Description automatically generated with medium confidence"/>
                    <pic:cNvPicPr/>
                  </pic:nvPicPr>
                  <pic:blipFill>
                    <a:blip r:embed="rId12"/>
                    <a:stretch>
                      <a:fillRect/>
                    </a:stretch>
                  </pic:blipFill>
                  <pic:spPr>
                    <a:xfrm>
                      <a:off x="0" y="0"/>
                      <a:ext cx="5943600" cy="6033770"/>
                    </a:xfrm>
                    <a:prstGeom prst="rect">
                      <a:avLst/>
                    </a:prstGeom>
                  </pic:spPr>
                </pic:pic>
              </a:graphicData>
            </a:graphic>
          </wp:inline>
        </w:drawing>
      </w:r>
    </w:p>
    <w:p w14:paraId="314793DC" w14:textId="0BECDF54" w:rsidR="00DB5E90" w:rsidRDefault="009407F4" w:rsidP="009407F4">
      <w:pPr>
        <w:pStyle w:val="Caption"/>
        <w:jc w:val="center"/>
      </w:pPr>
      <w:bookmarkStart w:id="5" w:name="_Ref191033011"/>
      <w:r>
        <w:t xml:space="preserve">Figure </w:t>
      </w:r>
      <w:r>
        <w:fldChar w:fldCharType="begin"/>
      </w:r>
      <w:r>
        <w:instrText>SEQ Figure \* ARABIC</w:instrText>
      </w:r>
      <w:r>
        <w:fldChar w:fldCharType="separate"/>
      </w:r>
      <w:r w:rsidR="00114611">
        <w:rPr>
          <w:noProof/>
        </w:rPr>
        <w:t>1</w:t>
      </w:r>
      <w:r>
        <w:fldChar w:fldCharType="end"/>
      </w:r>
      <w:bookmarkEnd w:id="5"/>
      <w:r>
        <w:t>- Results of PRC Prioritization Phase A</w:t>
      </w:r>
    </w:p>
    <w:p w14:paraId="6D474518" w14:textId="542094B7" w:rsidR="0061569D" w:rsidRDefault="00F048C6" w:rsidP="00FE5838">
      <w:pPr>
        <w:keepNext/>
      </w:pPr>
      <w:r>
        <w:lastRenderedPageBreak/>
        <w:t>During Phase</w:t>
      </w:r>
      <w:r w:rsidR="00B31E3D">
        <w:t>s</w:t>
      </w:r>
      <w:r>
        <w:t xml:space="preserve"> B-I</w:t>
      </w:r>
      <w:r w:rsidR="00B31E3D">
        <w:t xml:space="preserve"> and B</w:t>
      </w:r>
      <w:r w:rsidR="00CF7F63">
        <w:t>-II</w:t>
      </w:r>
      <w:r>
        <w:t xml:space="preserve"> the PRC used an online </w:t>
      </w:r>
      <w:r w:rsidR="00B31E3D">
        <w:t>tool to rank the higher</w:t>
      </w:r>
      <w:r w:rsidR="00CF7F63">
        <w:t xml:space="preserve"> and lower</w:t>
      </w:r>
      <w:r w:rsidR="00B31E3D">
        <w:t xml:space="preserve"> priority concepts</w:t>
      </w:r>
      <w:r w:rsidR="00CF7F63">
        <w:t xml:space="preserve"> respectively</w:t>
      </w:r>
      <w:r w:rsidR="00321647">
        <w:t>. These rankings were then combined into a single</w:t>
      </w:r>
      <w:r w:rsidR="00DA4C57">
        <w:t xml:space="preserve"> prioritized list of Concepts (Phase C) as shown in </w:t>
      </w:r>
      <w:r w:rsidR="00FE5838">
        <w:fldChar w:fldCharType="begin"/>
      </w:r>
      <w:r w:rsidR="00FE5838">
        <w:instrText xml:space="preserve"> REF _Ref191034563 \h </w:instrText>
      </w:r>
      <w:r w:rsidR="00FE5838">
        <w:fldChar w:fldCharType="separate"/>
      </w:r>
      <w:r w:rsidR="00114611">
        <w:t xml:space="preserve">Figure </w:t>
      </w:r>
      <w:r w:rsidR="00114611">
        <w:rPr>
          <w:noProof/>
        </w:rPr>
        <w:t>2</w:t>
      </w:r>
      <w:r w:rsidR="00FE5838">
        <w:fldChar w:fldCharType="end"/>
      </w:r>
      <w:r w:rsidR="00FE5838">
        <w:t>.</w:t>
      </w:r>
    </w:p>
    <w:p w14:paraId="474B57D8" w14:textId="15FEDBE9" w:rsidR="00FE5838" w:rsidRDefault="00B06128" w:rsidP="00FE5838">
      <w:pPr>
        <w:keepNext/>
      </w:pPr>
      <w:r w:rsidRPr="00B06128">
        <w:rPr>
          <w:noProof/>
        </w:rPr>
        <w:drawing>
          <wp:inline distT="0" distB="0" distL="0" distR="0" wp14:anchorId="30EE84DD" wp14:editId="0EFD5DAA">
            <wp:extent cx="5943600" cy="5051425"/>
            <wp:effectExtent l="0" t="0" r="0" b="0"/>
            <wp:docPr id="1090575374" name="Picture 1" descr="A group of number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575374" name="Picture 1" descr="A group of numbers and text&#10;&#10;Description automatically generated with medium confidence"/>
                    <pic:cNvPicPr/>
                  </pic:nvPicPr>
                  <pic:blipFill>
                    <a:blip r:embed="rId13"/>
                    <a:stretch>
                      <a:fillRect/>
                    </a:stretch>
                  </pic:blipFill>
                  <pic:spPr>
                    <a:xfrm>
                      <a:off x="0" y="0"/>
                      <a:ext cx="5943600" cy="5051425"/>
                    </a:xfrm>
                    <a:prstGeom prst="rect">
                      <a:avLst/>
                    </a:prstGeom>
                  </pic:spPr>
                </pic:pic>
              </a:graphicData>
            </a:graphic>
          </wp:inline>
        </w:drawing>
      </w:r>
    </w:p>
    <w:p w14:paraId="69CF57EE" w14:textId="4F8742ED" w:rsidR="00995A6B" w:rsidRDefault="00FE5838" w:rsidP="00FE5838">
      <w:pPr>
        <w:pStyle w:val="Caption"/>
        <w:jc w:val="center"/>
      </w:pPr>
      <w:bookmarkStart w:id="6" w:name="_Ref191034563"/>
      <w:r>
        <w:t xml:space="preserve">Figure </w:t>
      </w:r>
      <w:r>
        <w:fldChar w:fldCharType="begin"/>
      </w:r>
      <w:r>
        <w:instrText>SEQ Figure \* ARABIC</w:instrText>
      </w:r>
      <w:r>
        <w:fldChar w:fldCharType="separate"/>
      </w:r>
      <w:r w:rsidR="00114611">
        <w:rPr>
          <w:noProof/>
        </w:rPr>
        <w:t>2</w:t>
      </w:r>
      <w:r>
        <w:fldChar w:fldCharType="end"/>
      </w:r>
      <w:bookmarkEnd w:id="6"/>
      <w:r>
        <w:t xml:space="preserve"> - Full Prioritized List of Concepts (Phase C)</w:t>
      </w:r>
    </w:p>
    <w:p w14:paraId="425AF206" w14:textId="77DB533C" w:rsidR="00411A2C" w:rsidRDefault="00753C30" w:rsidP="00334955">
      <w:r>
        <w:t>Regarding</w:t>
      </w:r>
      <w:r w:rsidR="00C3326B">
        <w:t xml:space="preserve"> how many of these Concepts could potentially </w:t>
      </w:r>
      <w:r>
        <w:t>be included in</w:t>
      </w:r>
      <w:r w:rsidR="00C3326B">
        <w:t xml:space="preserve"> the</w:t>
      </w:r>
      <w:r w:rsidR="008B0238">
        <w:t xml:space="preserve"> PRC’s</w:t>
      </w:r>
      <w:r w:rsidR="00C3326B">
        <w:t xml:space="preserve"> 2025 Workplan, </w:t>
      </w:r>
      <w:r w:rsidR="004F5E15">
        <w:t>WPP</w:t>
      </w:r>
      <w:r w:rsidR="00E6414C">
        <w:t xml:space="preserve"> </w:t>
      </w:r>
      <w:r w:rsidR="005D619F">
        <w:t>estimat</w:t>
      </w:r>
      <w:r w:rsidR="00C3326B">
        <w:t>ed</w:t>
      </w:r>
      <w:r w:rsidR="005D619F">
        <w:t xml:space="preserve"> </w:t>
      </w:r>
      <w:r w:rsidR="00C34477">
        <w:t>it was feasible for</w:t>
      </w:r>
      <w:r w:rsidR="005D619F">
        <w:t xml:space="preserve"> three</w:t>
      </w:r>
      <w:r w:rsidR="007D59C1">
        <w:t xml:space="preserve"> Task Forces</w:t>
      </w:r>
      <w:r w:rsidR="00C34477">
        <w:t xml:space="preserve"> streams</w:t>
      </w:r>
      <w:r w:rsidR="007D59C1">
        <w:t xml:space="preserve"> </w:t>
      </w:r>
      <w:r w:rsidR="00C34477">
        <w:t xml:space="preserve">to run </w:t>
      </w:r>
      <w:r w:rsidR="007D59C1">
        <w:t xml:space="preserve">simultaneously for the </w:t>
      </w:r>
      <w:r w:rsidR="0061569D">
        <w:t>12</w:t>
      </w:r>
      <w:r w:rsidR="00477A2A">
        <w:t>-month</w:t>
      </w:r>
      <w:r w:rsidR="007D59C1">
        <w:t xml:space="preserve"> period July 2025 through June 2026.</w:t>
      </w:r>
      <w:r w:rsidR="00411A2C">
        <w:t xml:space="preserve"> Taking into account the Time Score assigned to each Concept </w:t>
      </w:r>
      <w:r w:rsidR="00FD5AAD">
        <w:t>–</w:t>
      </w:r>
      <w:r w:rsidR="00411A2C">
        <w:t xml:space="preserve"> Short</w:t>
      </w:r>
      <w:r w:rsidR="00FD5AAD">
        <w:t>/S</w:t>
      </w:r>
      <w:r w:rsidR="00411A2C">
        <w:t xml:space="preserve"> (two months), Medium</w:t>
      </w:r>
      <w:r w:rsidR="00FD5AAD">
        <w:t xml:space="preserve">/M </w:t>
      </w:r>
      <w:r w:rsidR="00411A2C">
        <w:t>(four months), Long</w:t>
      </w:r>
      <w:r w:rsidR="00FD5AAD">
        <w:t>/L</w:t>
      </w:r>
      <w:r w:rsidR="00411A2C">
        <w:t xml:space="preserve"> (six months)</w:t>
      </w:r>
      <w:r w:rsidR="00FD5AAD">
        <w:t xml:space="preserve"> - </w:t>
      </w:r>
      <w:r w:rsidR="00477A2A">
        <w:t>this would allow</w:t>
      </w:r>
      <w:r w:rsidR="00164AAE">
        <w:t xml:space="preserve"> the top seven </w:t>
      </w:r>
      <w:r w:rsidR="0061569D">
        <w:t>Concepts to be fully captured by the 2025 Workplan</w:t>
      </w:r>
      <w:r w:rsidR="00AC70EC">
        <w:t xml:space="preserve"> (i.e. CRF-005 throu</w:t>
      </w:r>
      <w:r w:rsidR="00095C84">
        <w:t>gh CRF-010)</w:t>
      </w:r>
      <w:r w:rsidR="0061569D">
        <w:t>.</w:t>
      </w:r>
    </w:p>
    <w:p w14:paraId="37ABA413" w14:textId="1D7E08A3" w:rsidR="00334955" w:rsidRDefault="000F0443" w:rsidP="00334955">
      <w:r>
        <w:t>To</w:t>
      </w:r>
      <w:r w:rsidR="00271D52">
        <w:t xml:space="preserve"> avoid Long Concepts delaying or preventing any progress being made on shorter Concepts</w:t>
      </w:r>
      <w:r w:rsidR="00CE14D0">
        <w:t>, the PRC directed WPP to develop an initial draft schedule</w:t>
      </w:r>
      <w:r w:rsidR="00B5344C">
        <w:t xml:space="preserve"> that dedicated two</w:t>
      </w:r>
      <w:r w:rsidR="00C34477">
        <w:t xml:space="preserve"> of the three</w:t>
      </w:r>
      <w:r w:rsidR="00B5344C">
        <w:t xml:space="preserve"> Task Force streams to Long Concepts, while the remain</w:t>
      </w:r>
      <w:r w:rsidR="00D64217">
        <w:t>ing</w:t>
      </w:r>
      <w:r w:rsidR="00664A49">
        <w:t xml:space="preserve"> Task Force stream </w:t>
      </w:r>
      <w:r w:rsidR="00664A49">
        <w:lastRenderedPageBreak/>
        <w:t>sought to work through as many shorter Concepts as could be accommodated.</w:t>
      </w:r>
      <w:r w:rsidR="002577C0">
        <w:t xml:space="preserve"> The PRC then motioned </w:t>
      </w:r>
      <w:r w:rsidR="00BD259C">
        <w:t xml:space="preserve">to move forward with the prioritized list of Concepts as determined at </w:t>
      </w:r>
      <w:proofErr w:type="gramStart"/>
      <w:r w:rsidR="00BD259C">
        <w:t>the January</w:t>
      </w:r>
      <w:proofErr w:type="gramEnd"/>
      <w:r w:rsidR="00BD259C">
        <w:t xml:space="preserve"> 23</w:t>
      </w:r>
      <w:r w:rsidR="00BD259C" w:rsidRPr="00BD259C">
        <w:rPr>
          <w:vertAlign w:val="superscript"/>
        </w:rPr>
        <w:t>rd</w:t>
      </w:r>
      <w:r w:rsidR="00BD259C">
        <w:t>, 2025.</w:t>
      </w:r>
      <w:r w:rsidR="00D64217">
        <w:t xml:space="preserve"> </w:t>
      </w:r>
    </w:p>
    <w:p w14:paraId="1576CE7A" w14:textId="296666E9" w:rsidR="008B765D" w:rsidRDefault="00733A43" w:rsidP="008B765D">
      <w:pPr>
        <w:pStyle w:val="Heading1"/>
        <w:numPr>
          <w:ilvl w:val="0"/>
          <w:numId w:val="21"/>
        </w:numPr>
      </w:pPr>
      <w:bookmarkStart w:id="7" w:name="_Ref191375440"/>
      <w:bookmarkStart w:id="8" w:name="_Ref191375701"/>
      <w:bookmarkStart w:id="9" w:name="_Ref191375708"/>
      <w:bookmarkStart w:id="10" w:name="_Ref191378582"/>
      <w:bookmarkStart w:id="11" w:name="_Toc202175305"/>
      <w:r>
        <w:t xml:space="preserve">Detailed </w:t>
      </w:r>
      <w:r w:rsidR="003361AB">
        <w:t>Level of Effort Review</w:t>
      </w:r>
      <w:bookmarkEnd w:id="7"/>
      <w:bookmarkEnd w:id="8"/>
      <w:bookmarkEnd w:id="9"/>
      <w:bookmarkEnd w:id="10"/>
      <w:bookmarkEnd w:id="11"/>
    </w:p>
    <w:p w14:paraId="007E2DD2" w14:textId="3EF1C1A5" w:rsidR="00FC3C6D" w:rsidRDefault="00941748" w:rsidP="00247785">
      <w:r>
        <w:t>BPM 301 states that fo</w:t>
      </w:r>
      <w:r w:rsidR="00893E98">
        <w:t>llowing the prioritization of Concepts</w:t>
      </w:r>
      <w:r w:rsidR="00FC3C6D">
        <w:t>:</w:t>
      </w:r>
    </w:p>
    <w:p w14:paraId="74F86183" w14:textId="42C3F496" w:rsidR="00E5238B" w:rsidRDefault="00FC3C6D" w:rsidP="00FC3C6D">
      <w:pPr>
        <w:ind w:left="720"/>
      </w:pPr>
      <w:r>
        <w:t>“</w:t>
      </w:r>
      <w:r w:rsidR="00893E98">
        <w:t>[…</w:t>
      </w:r>
      <w:r w:rsidR="00DE19A8">
        <w:t xml:space="preserve">] </w:t>
      </w:r>
      <w:r w:rsidR="00E5238B" w:rsidRPr="000F5840">
        <w:t>the Program Administrator will work with the Program Operator to give each Concept in the list a level of effort ranking. This level of effort ranking will include a description of the requirements for addressing each Concept (Program Administrator and Program Operator support, Participant engagement, etc.) as well as the anticipated timeline. The PRC will be supplied with the criteria used to determine the level of effort ranking. The level of effort review will be completed by February 15.</w:t>
      </w:r>
      <w:r>
        <w:t>”</w:t>
      </w:r>
    </w:p>
    <w:p w14:paraId="47DF0535" w14:textId="78E94F49" w:rsidR="00292856" w:rsidRDefault="00D45454" w:rsidP="00292856">
      <w:r>
        <w:t>The detailed level of effort review (to distinguish</w:t>
      </w:r>
      <w:r w:rsidR="00BD0820">
        <w:t xml:space="preserve"> the process</w:t>
      </w:r>
      <w:r>
        <w:t xml:space="preserve"> from the high-level </w:t>
      </w:r>
      <w:r w:rsidR="00B40D1B">
        <w:t xml:space="preserve">level of effort review </w:t>
      </w:r>
      <w:r w:rsidR="001323DE">
        <w:t xml:space="preserve">conducted </w:t>
      </w:r>
      <w:r w:rsidR="00B40D1B">
        <w:t>as part of the CRF Compilation) was provided to the PRC on February 14</w:t>
      </w:r>
      <w:r w:rsidR="00B40D1B" w:rsidRPr="00B40D1B">
        <w:rPr>
          <w:vertAlign w:val="superscript"/>
        </w:rPr>
        <w:t>th</w:t>
      </w:r>
      <w:r w:rsidR="00B40D1B">
        <w:t>, 2025, ahead of</w:t>
      </w:r>
      <w:r w:rsidR="00BD0820">
        <w:t xml:space="preserve"> the Committee’s</w:t>
      </w:r>
      <w:r w:rsidR="00B40D1B">
        <w:t xml:space="preserve"> meeting on </w:t>
      </w:r>
      <w:r w:rsidR="007A2B21">
        <w:t>February 19</w:t>
      </w:r>
      <w:r w:rsidR="007A2B21" w:rsidRPr="007A2B21">
        <w:rPr>
          <w:vertAlign w:val="superscript"/>
        </w:rPr>
        <w:t>th</w:t>
      </w:r>
      <w:r w:rsidR="007A2B21">
        <w:t>, 2025.</w:t>
      </w:r>
    </w:p>
    <w:p w14:paraId="0100DBF8" w14:textId="2AC68D41" w:rsidR="00A12A5B" w:rsidRDefault="00802FB3" w:rsidP="00A12A5B">
      <w:pPr>
        <w:keepNext/>
      </w:pPr>
      <w:r>
        <w:t>WPP</w:t>
      </w:r>
      <w:r w:rsidR="002771A9">
        <w:t xml:space="preserve"> began the level of</w:t>
      </w:r>
      <w:r w:rsidR="005B0C72">
        <w:t xml:space="preserve"> effort</w:t>
      </w:r>
      <w:r w:rsidR="002771A9">
        <w:t xml:space="preserve"> review </w:t>
      </w:r>
      <w:r w:rsidR="00015DFB">
        <w:t xml:space="preserve">with a draft schedule that took </w:t>
      </w:r>
      <w:r w:rsidR="002771A9">
        <w:t>the prioritized Concepts</w:t>
      </w:r>
      <w:r w:rsidR="00CC7457">
        <w:t xml:space="preserve"> and scheduled them into the three Task Force streams – two for Long Concepts</w:t>
      </w:r>
      <w:r w:rsidR="00FD52AE">
        <w:t>, one for shorter Concepts – in the order the Concepts were ranked.</w:t>
      </w:r>
      <w:r w:rsidR="00006C74">
        <w:t xml:space="preserve"> WPP then explored re-arranging the schedule </w:t>
      </w:r>
      <w:r w:rsidR="008A4304">
        <w:t>according to the following criteria:</w:t>
      </w:r>
      <w:r w:rsidR="00006C74">
        <w:t xml:space="preserve"> minimiz</w:t>
      </w:r>
      <w:r w:rsidR="008A4304">
        <w:t>ing</w:t>
      </w:r>
      <w:r w:rsidR="00006C74">
        <w:t xml:space="preserve"> Lead Sponsor overlap</w:t>
      </w:r>
      <w:r w:rsidR="004D2C61">
        <w:t xml:space="preserve"> (Phase 1)</w:t>
      </w:r>
      <w:r w:rsidR="008A4304">
        <w:t>;</w:t>
      </w:r>
      <w:r w:rsidR="004D2C61">
        <w:t xml:space="preserve"> minimizing WRAP Area overlap </w:t>
      </w:r>
      <w:r w:rsidR="00667A7C">
        <w:t>as a proxy for the composition of the Task Forces in terms of WPP and SPP Staff, interested Participants, and other stakeholde</w:t>
      </w:r>
      <w:r w:rsidR="00A554B7">
        <w:t>rs (Phase 2)</w:t>
      </w:r>
      <w:r w:rsidR="008A4304">
        <w:t xml:space="preserve">; </w:t>
      </w:r>
      <w:proofErr w:type="gramStart"/>
      <w:r w:rsidR="00FE7F7B">
        <w:t>and,</w:t>
      </w:r>
      <w:proofErr w:type="gramEnd"/>
      <w:r w:rsidR="00FE7F7B">
        <w:t xml:space="preserve"> investigating</w:t>
      </w:r>
      <w:r w:rsidR="007F2E61">
        <w:t xml:space="preserve"> any benefits to mirroring the schedule</w:t>
      </w:r>
      <w:r w:rsidR="00BE0761">
        <w:t xml:space="preserve"> (Phase 3)</w:t>
      </w:r>
      <w:r w:rsidR="00E81D33">
        <w:t xml:space="preserve">. </w:t>
      </w:r>
      <w:r w:rsidR="00BE0761">
        <w:t xml:space="preserve">The level of effort review showed </w:t>
      </w:r>
      <w:r w:rsidR="00CE143E">
        <w:t>t</w:t>
      </w:r>
      <w:r w:rsidR="00E2013D">
        <w:t xml:space="preserve">he initial draft schedule based on the ranking of Concepts </w:t>
      </w:r>
      <w:r w:rsidR="004F15EB">
        <w:t>to be</w:t>
      </w:r>
      <w:r w:rsidR="00CE143E">
        <w:t xml:space="preserve"> optimal</w:t>
      </w:r>
      <w:r w:rsidR="003C3A3F">
        <w:t xml:space="preserve">, as </w:t>
      </w:r>
      <w:r w:rsidR="004F15EB">
        <w:t xml:space="preserve">presented </w:t>
      </w:r>
      <w:r w:rsidR="003C3A3F">
        <w:t xml:space="preserve">in </w:t>
      </w:r>
      <w:r w:rsidR="00A12A5B">
        <w:fldChar w:fldCharType="begin"/>
      </w:r>
      <w:r w:rsidR="00A12A5B">
        <w:instrText xml:space="preserve"> REF _Ref191038377 \h </w:instrText>
      </w:r>
      <w:r w:rsidR="00A12A5B">
        <w:fldChar w:fldCharType="separate"/>
      </w:r>
      <w:r w:rsidR="00114611">
        <w:t xml:space="preserve">Figure </w:t>
      </w:r>
      <w:r w:rsidR="00114611">
        <w:rPr>
          <w:noProof/>
        </w:rPr>
        <w:t>3</w:t>
      </w:r>
      <w:r w:rsidR="00A12A5B">
        <w:fldChar w:fldCharType="end"/>
      </w:r>
      <w:r w:rsidR="00A12A5B">
        <w:t>.</w:t>
      </w:r>
      <w:r w:rsidR="00C37DCB">
        <w:t xml:space="preserve"> While CRF-</w:t>
      </w:r>
      <w:r w:rsidR="00C301A2">
        <w:t>24 (PAC, Flat Load and PRMs)</w:t>
      </w:r>
      <w:r w:rsidR="00702A76">
        <w:t xml:space="preserve"> was the next highest ranked Concept after CRF-10 </w:t>
      </w:r>
      <w:r w:rsidR="006C1DDB">
        <w:t>(SRP/IPC, Capability Testing Off-Season), no room remained in the two Long Task Force streams</w:t>
      </w:r>
      <w:r w:rsidR="00C77001">
        <w:t xml:space="preserve">, allowing the CRFs 14 (IPC, Joint Owner </w:t>
      </w:r>
      <w:r w:rsidR="00C77001">
        <w:lastRenderedPageBreak/>
        <w:t>Flexibility) and</w:t>
      </w:r>
      <w:r w:rsidR="00F2560A">
        <w:t xml:space="preserve"> 15 (PNM, Planned Outage Clarification) to enter the Task Force Stream </w:t>
      </w:r>
      <w:r w:rsidR="003214DC">
        <w:t>dedicated</w:t>
      </w:r>
      <w:r w:rsidR="0079321C">
        <w:t xml:space="preserve"> to shorter Concepts.</w:t>
      </w:r>
      <w:r w:rsidR="00F2560A">
        <w:t xml:space="preserve"> </w:t>
      </w:r>
    </w:p>
    <w:p w14:paraId="5BD26069" w14:textId="70C67A65" w:rsidR="00A12A5B" w:rsidRDefault="002B2BA1" w:rsidP="00A12A5B">
      <w:pPr>
        <w:keepNext/>
      </w:pPr>
      <w:r w:rsidRPr="002B2BA1">
        <w:rPr>
          <w:noProof/>
        </w:rPr>
        <w:drawing>
          <wp:inline distT="0" distB="0" distL="0" distR="0" wp14:anchorId="09525F18" wp14:editId="623D15A9">
            <wp:extent cx="5943600" cy="6341110"/>
            <wp:effectExtent l="0" t="0" r="0" b="2540"/>
            <wp:docPr id="208170761" name="Picture 1" descr="A screenshot of a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70761" name="Picture 1" descr="A screenshot of a calendar&#10;&#10;Description automatically generated"/>
                    <pic:cNvPicPr/>
                  </pic:nvPicPr>
                  <pic:blipFill>
                    <a:blip r:embed="rId14"/>
                    <a:stretch>
                      <a:fillRect/>
                    </a:stretch>
                  </pic:blipFill>
                  <pic:spPr>
                    <a:xfrm>
                      <a:off x="0" y="0"/>
                      <a:ext cx="5943600" cy="6341110"/>
                    </a:xfrm>
                    <a:prstGeom prst="rect">
                      <a:avLst/>
                    </a:prstGeom>
                  </pic:spPr>
                </pic:pic>
              </a:graphicData>
            </a:graphic>
          </wp:inline>
        </w:drawing>
      </w:r>
    </w:p>
    <w:p w14:paraId="08E5CC4C" w14:textId="6FEDDAF1" w:rsidR="00802FB3" w:rsidRDefault="00A12A5B" w:rsidP="00CB3A35">
      <w:pPr>
        <w:pStyle w:val="Caption"/>
        <w:jc w:val="center"/>
      </w:pPr>
      <w:bookmarkStart w:id="12" w:name="_Ref191038377"/>
      <w:r>
        <w:t xml:space="preserve">Figure </w:t>
      </w:r>
      <w:r>
        <w:fldChar w:fldCharType="begin"/>
      </w:r>
      <w:r>
        <w:instrText>SEQ Figure \* ARABIC</w:instrText>
      </w:r>
      <w:r>
        <w:fldChar w:fldCharType="separate"/>
      </w:r>
      <w:r w:rsidR="00114611">
        <w:rPr>
          <w:noProof/>
        </w:rPr>
        <w:t>3</w:t>
      </w:r>
      <w:r>
        <w:fldChar w:fldCharType="end"/>
      </w:r>
      <w:bookmarkEnd w:id="12"/>
      <w:r>
        <w:t xml:space="preserve"> - Level of Effort Review Draft Task Force Schedule</w:t>
      </w:r>
    </w:p>
    <w:p w14:paraId="4F0D3462" w14:textId="29BAADD0" w:rsidR="004F15EB" w:rsidRPr="004F15EB" w:rsidRDefault="00DD4E98" w:rsidP="004F15EB">
      <w:r>
        <w:t xml:space="preserve">The results of the level of effort review were presented to the PRC on February </w:t>
      </w:r>
      <w:r w:rsidR="007A44EF">
        <w:t>19</w:t>
      </w:r>
      <w:r w:rsidR="007A44EF" w:rsidRPr="007A44EF">
        <w:rPr>
          <w:vertAlign w:val="superscript"/>
        </w:rPr>
        <w:t>th</w:t>
      </w:r>
      <w:r w:rsidR="007A44EF">
        <w:t xml:space="preserve">, 2025 (see </w:t>
      </w:r>
      <w:r w:rsidR="007C2264">
        <w:fldChar w:fldCharType="begin"/>
      </w:r>
      <w:r w:rsidR="007C2264">
        <w:instrText xml:space="preserve"> REF _Ref191039178 \h </w:instrText>
      </w:r>
      <w:r w:rsidR="007C2264">
        <w:fldChar w:fldCharType="separate"/>
      </w:r>
      <w:r w:rsidR="00114611">
        <w:t>Appendix D – PRC Minutes Feb.</w:t>
      </w:r>
      <w:r w:rsidR="00114611" w:rsidRPr="00543F21">
        <w:t xml:space="preserve"> </w:t>
      </w:r>
      <w:r w:rsidR="00114611">
        <w:t>19</w:t>
      </w:r>
      <w:r w:rsidR="00114611">
        <w:rPr>
          <w:vertAlign w:val="superscript"/>
        </w:rPr>
        <w:t>th</w:t>
      </w:r>
      <w:r w:rsidR="00114611" w:rsidRPr="00543F21">
        <w:t>, 202</w:t>
      </w:r>
      <w:r w:rsidR="00114611">
        <w:t>5</w:t>
      </w:r>
      <w:r w:rsidR="00114611" w:rsidRPr="00543F21">
        <w:t xml:space="preserve">; </w:t>
      </w:r>
      <w:r w:rsidR="00114611">
        <w:t>8:30-</w:t>
      </w:r>
      <w:r w:rsidR="00114611" w:rsidRPr="00543F21">
        <w:t>1</w:t>
      </w:r>
      <w:r w:rsidR="00114611">
        <w:t>0a</w:t>
      </w:r>
      <w:r w:rsidR="00114611" w:rsidRPr="00543F21">
        <w:t xml:space="preserve">m </w:t>
      </w:r>
      <w:r w:rsidR="00114611">
        <w:t>PT</w:t>
      </w:r>
      <w:r w:rsidR="007C2264">
        <w:fldChar w:fldCharType="end"/>
      </w:r>
      <w:r w:rsidR="0021433C">
        <w:t>)</w:t>
      </w:r>
      <w:r w:rsidR="00D23E74">
        <w:t xml:space="preserve"> and subsequently incorporated into th</w:t>
      </w:r>
      <w:r w:rsidR="00903885">
        <w:t>is Workplan.</w:t>
      </w:r>
    </w:p>
    <w:p w14:paraId="6E367C5B" w14:textId="5C00ECCF" w:rsidR="00EC04F4" w:rsidRPr="00EC04F4" w:rsidRDefault="003361AB" w:rsidP="00EC04F4">
      <w:pPr>
        <w:pStyle w:val="Heading1"/>
        <w:numPr>
          <w:ilvl w:val="0"/>
          <w:numId w:val="21"/>
        </w:numPr>
      </w:pPr>
      <w:bookmarkStart w:id="13" w:name="_Ref191377945"/>
      <w:bookmarkStart w:id="14" w:name="_Ref191390899"/>
      <w:bookmarkStart w:id="15" w:name="_Toc202175306"/>
      <w:r>
        <w:lastRenderedPageBreak/>
        <w:t>Proposed Schedule an</w:t>
      </w:r>
      <w:r w:rsidR="000F5840">
        <w:t>d Plan of Action</w:t>
      </w:r>
      <w:bookmarkEnd w:id="13"/>
      <w:bookmarkEnd w:id="14"/>
      <w:bookmarkEnd w:id="15"/>
    </w:p>
    <w:p w14:paraId="3D8A51AD" w14:textId="4B2600D9" w:rsidR="000709BD" w:rsidRPr="001023E5" w:rsidRDefault="002733E7" w:rsidP="006A34AC">
      <w:r>
        <w:t xml:space="preserve">At </w:t>
      </w:r>
      <w:r w:rsidR="00BD0820">
        <w:t xml:space="preserve">the Committee’s </w:t>
      </w:r>
      <w:r>
        <w:t>meeting on February 19</w:t>
      </w:r>
      <w:r w:rsidRPr="002733E7">
        <w:rPr>
          <w:vertAlign w:val="superscript"/>
        </w:rPr>
        <w:t>th</w:t>
      </w:r>
      <w:r>
        <w:t xml:space="preserve">, 2025, the PRC </w:t>
      </w:r>
      <w:r w:rsidR="00A87789">
        <w:t xml:space="preserve">sought to include </w:t>
      </w:r>
      <w:r w:rsidR="00A110FA">
        <w:t xml:space="preserve">flexibility in </w:t>
      </w:r>
      <w:r w:rsidR="006F2B2F">
        <w:t xml:space="preserve">implementation </w:t>
      </w:r>
      <w:r w:rsidR="00A110FA">
        <w:t>of the 2025 Workplan</w:t>
      </w:r>
      <w:r w:rsidR="00BD0820">
        <w:t>’s</w:t>
      </w:r>
      <w:r w:rsidR="00205168">
        <w:t xml:space="preserve"> schedule</w:t>
      </w:r>
      <w:r w:rsidR="00BF054C">
        <w:t xml:space="preserve"> (</w:t>
      </w:r>
      <w:r w:rsidR="00A110FA">
        <w:t xml:space="preserve">shown in </w:t>
      </w:r>
      <w:r w:rsidR="00A110FA">
        <w:fldChar w:fldCharType="begin"/>
      </w:r>
      <w:r w:rsidR="00A110FA">
        <w:instrText xml:space="preserve"> REF _Ref191038377 \h </w:instrText>
      </w:r>
      <w:r w:rsidR="00A110FA">
        <w:fldChar w:fldCharType="separate"/>
      </w:r>
      <w:r w:rsidR="00114611">
        <w:t xml:space="preserve">Figure </w:t>
      </w:r>
      <w:r w:rsidR="00114611">
        <w:rPr>
          <w:noProof/>
        </w:rPr>
        <w:t>3</w:t>
      </w:r>
      <w:r w:rsidR="00A110FA">
        <w:fldChar w:fldCharType="end"/>
      </w:r>
      <w:r w:rsidR="00BF054C" w:rsidRPr="001023E5">
        <w:t xml:space="preserve">). </w:t>
      </w:r>
      <w:r w:rsidR="00824692" w:rsidRPr="001023E5">
        <w:t>While Concept prioritization should remain the foundation of the Workplan, the Committee sought flexibility to address special circumstances such as changes in a Concept’s priority</w:t>
      </w:r>
      <w:r w:rsidR="007419F5">
        <w:t>,</w:t>
      </w:r>
      <w:r w:rsidR="00824692" w:rsidRPr="001023E5">
        <w:t xml:space="preserve"> staffing shifts</w:t>
      </w:r>
      <w:r w:rsidR="007419F5">
        <w:t xml:space="preserve"> at WPP, SPP, or</w:t>
      </w:r>
      <w:r w:rsidR="0054236A" w:rsidRPr="001023E5">
        <w:t xml:space="preserve"> in Task Force leadership</w:t>
      </w:r>
      <w:r w:rsidR="00824692" w:rsidRPr="001023E5">
        <w:t>; or</w:t>
      </w:r>
      <w:r w:rsidR="00517423" w:rsidRPr="001023E5">
        <w:t xml:space="preserve"> the PRC endors</w:t>
      </w:r>
      <w:r w:rsidR="00097BBA" w:rsidRPr="001023E5">
        <w:t>ing</w:t>
      </w:r>
      <w:r w:rsidR="00824692" w:rsidRPr="001023E5">
        <w:t xml:space="preserve"> a</w:t>
      </w:r>
      <w:r w:rsidR="00DC27B9" w:rsidRPr="001023E5">
        <w:t xml:space="preserve"> direct</w:t>
      </w:r>
      <w:r w:rsidR="00824692" w:rsidRPr="001023E5">
        <w:t xml:space="preserve"> </w:t>
      </w:r>
      <w:r w:rsidR="00657AD6" w:rsidRPr="001023E5">
        <w:t xml:space="preserve">Task Force </w:t>
      </w:r>
      <w:r w:rsidR="00517423" w:rsidRPr="001023E5">
        <w:t xml:space="preserve">Proposal </w:t>
      </w:r>
      <w:r w:rsidR="00657AD6" w:rsidRPr="001023E5">
        <w:t xml:space="preserve">that a </w:t>
      </w:r>
      <w:r w:rsidR="00824692" w:rsidRPr="001023E5">
        <w:t xml:space="preserve">Concept </w:t>
      </w:r>
      <w:r w:rsidR="00517423" w:rsidRPr="001023E5">
        <w:t xml:space="preserve">should </w:t>
      </w:r>
      <w:r w:rsidR="00824692" w:rsidRPr="001023E5">
        <w:t>be withdrawn</w:t>
      </w:r>
      <w:r w:rsidR="00750DC4" w:rsidRPr="001023E5">
        <w:t xml:space="preserve"> </w:t>
      </w:r>
      <w:r w:rsidR="00517423" w:rsidRPr="001023E5">
        <w:t xml:space="preserve">and </w:t>
      </w:r>
      <w:r w:rsidR="000B2E90" w:rsidRPr="001023E5">
        <w:t>cease</w:t>
      </w:r>
      <w:r w:rsidR="00517423" w:rsidRPr="001023E5">
        <w:t xml:space="preserve"> further development.</w:t>
      </w:r>
      <w:r w:rsidR="00824692" w:rsidRPr="001023E5">
        <w:t xml:space="preserve"> </w:t>
      </w:r>
    </w:p>
    <w:p w14:paraId="414E0ECF" w14:textId="269B107A" w:rsidR="002E27D1" w:rsidRPr="001023E5" w:rsidRDefault="001643CC" w:rsidP="006A34AC">
      <w:r w:rsidRPr="001023E5">
        <w:t>P</w:t>
      </w:r>
      <w:r w:rsidR="00283261" w:rsidRPr="001023E5">
        <w:t>er BPM 301</w:t>
      </w:r>
      <w:r w:rsidR="00E013F3" w:rsidRPr="001023E5">
        <w:t xml:space="preserve"> Table 1</w:t>
      </w:r>
      <w:r w:rsidR="004A5AF7" w:rsidRPr="001023E5">
        <w:t>,</w:t>
      </w:r>
      <w:r w:rsidR="00F27618" w:rsidRPr="001023E5">
        <w:t xml:space="preserve"> </w:t>
      </w:r>
      <w:r w:rsidR="008C78B3" w:rsidRPr="001023E5">
        <w:t xml:space="preserve">the </w:t>
      </w:r>
      <w:r w:rsidR="00A27703" w:rsidRPr="001023E5">
        <w:t>Lead Sponsor</w:t>
      </w:r>
      <w:r w:rsidR="00602CBD" w:rsidRPr="001023E5">
        <w:t xml:space="preserve"> is responsible for a Concept</w:t>
      </w:r>
      <w:r w:rsidR="00C372A3" w:rsidRPr="001023E5">
        <w:t xml:space="preserve"> up until</w:t>
      </w:r>
      <w:r w:rsidR="00C21011" w:rsidRPr="001023E5">
        <w:t xml:space="preserve"> December 31</w:t>
      </w:r>
      <w:r w:rsidR="00C21011" w:rsidRPr="001023E5">
        <w:rPr>
          <w:vertAlign w:val="superscript"/>
        </w:rPr>
        <w:t>st</w:t>
      </w:r>
      <w:r w:rsidR="00C21011" w:rsidRPr="001023E5">
        <w:t xml:space="preserve"> of the year before the Workplan</w:t>
      </w:r>
      <w:r w:rsidR="0014544B" w:rsidRPr="001023E5">
        <w:t>, which is the final day to submit a complete Change Request Form.</w:t>
      </w:r>
      <w:r w:rsidR="00B82B3D" w:rsidRPr="001023E5">
        <w:t xml:space="preserve"> As described in BPM 302</w:t>
      </w:r>
      <w:r w:rsidR="00BF7C77" w:rsidRPr="001023E5">
        <w:t xml:space="preserve">, the Lead Sponsor will participate as a member </w:t>
      </w:r>
      <w:r w:rsidR="00B7024A" w:rsidRPr="001023E5">
        <w:t xml:space="preserve">of any Task Force </w:t>
      </w:r>
      <w:r w:rsidR="00E30173" w:rsidRPr="001023E5">
        <w:t xml:space="preserve">set up </w:t>
      </w:r>
      <w:r w:rsidR="007B1811" w:rsidRPr="001023E5">
        <w:t>to develop the Concept</w:t>
      </w:r>
      <w:r w:rsidR="001B4302" w:rsidRPr="001023E5">
        <w:t xml:space="preserve">, </w:t>
      </w:r>
      <w:r w:rsidR="009A3AB8" w:rsidRPr="001023E5">
        <w:t xml:space="preserve">but it is </w:t>
      </w:r>
      <w:r w:rsidR="002048C2" w:rsidRPr="001023E5">
        <w:t xml:space="preserve">up to the Task Force </w:t>
      </w:r>
      <w:proofErr w:type="gramStart"/>
      <w:r w:rsidR="002048C2" w:rsidRPr="001023E5">
        <w:t>as a whole to</w:t>
      </w:r>
      <w:proofErr w:type="gramEnd"/>
      <w:r w:rsidR="002048C2" w:rsidRPr="001023E5">
        <w:t xml:space="preserve"> decide it</w:t>
      </w:r>
      <w:r w:rsidR="00101D2F" w:rsidRPr="001023E5">
        <w:t xml:space="preserve">s own procedures pertaining to decision making </w:t>
      </w:r>
      <w:r w:rsidR="00E908E3" w:rsidRPr="001023E5">
        <w:t>processes, including leadership structure.</w:t>
      </w:r>
      <w:r w:rsidR="008C0CDF" w:rsidRPr="001023E5">
        <w:t xml:space="preserve"> If the Task Force decides it is unnecessary </w:t>
      </w:r>
      <w:r w:rsidR="0003532A" w:rsidRPr="001023E5">
        <w:t xml:space="preserve">to </w:t>
      </w:r>
      <w:r w:rsidR="0026041D" w:rsidRPr="001023E5">
        <w:t>develop a Concept any further</w:t>
      </w:r>
      <w:r w:rsidR="004A11CB" w:rsidRPr="001023E5">
        <w:t xml:space="preserve">, the </w:t>
      </w:r>
      <w:r w:rsidR="006101F1" w:rsidRPr="001023E5">
        <w:t>Task Force will make such a Proposal</w:t>
      </w:r>
      <w:r w:rsidR="00B6048D" w:rsidRPr="001023E5">
        <w:t xml:space="preserve"> directly</w:t>
      </w:r>
      <w:r w:rsidR="006101F1" w:rsidRPr="001023E5">
        <w:t xml:space="preserve"> to the PRC</w:t>
      </w:r>
      <w:r w:rsidR="00C565BE" w:rsidRPr="001023E5">
        <w:t>, and the Committee</w:t>
      </w:r>
      <w:r w:rsidR="00A13C5B" w:rsidRPr="001023E5">
        <w:t xml:space="preserve"> will consi</w:t>
      </w:r>
      <w:r w:rsidR="009B3B48" w:rsidRPr="001023E5">
        <w:t xml:space="preserve">der </w:t>
      </w:r>
      <w:r w:rsidR="0080370D" w:rsidRPr="001023E5">
        <w:t>endorsing</w:t>
      </w:r>
      <w:r w:rsidR="00051A50" w:rsidRPr="001023E5">
        <w:t xml:space="preserve"> with</w:t>
      </w:r>
      <w:r w:rsidR="00410BEC" w:rsidRPr="001023E5">
        <w:t xml:space="preserve">drawal of </w:t>
      </w:r>
      <w:r w:rsidR="009B3B48" w:rsidRPr="001023E5">
        <w:t xml:space="preserve">the Concept </w:t>
      </w:r>
      <w:r w:rsidR="00700C47" w:rsidRPr="001023E5">
        <w:t>via consensus or voting.</w:t>
      </w:r>
    </w:p>
    <w:p w14:paraId="4023F5CA" w14:textId="6C516811" w:rsidR="00C60BED" w:rsidRDefault="000709BD" w:rsidP="006A34AC">
      <w:r w:rsidRPr="001023E5">
        <w:t xml:space="preserve">Additionally, </w:t>
      </w:r>
      <w:r w:rsidR="002A2878" w:rsidRPr="001023E5">
        <w:t>Task Forc</w:t>
      </w:r>
      <w:r w:rsidR="00843C1F" w:rsidRPr="001023E5">
        <w:t xml:space="preserve">es may develop Concepts into Proposals ready for comment </w:t>
      </w:r>
      <w:r w:rsidR="005943E9">
        <w:t xml:space="preserve">swifter </w:t>
      </w:r>
      <w:r w:rsidR="00843C1F">
        <w:t>than estimated</w:t>
      </w:r>
      <w:r w:rsidR="00C73637">
        <w:t xml:space="preserve"> in their Time Rank scores</w:t>
      </w:r>
      <w:r w:rsidR="00E76FCD">
        <w:t>: Short/S (two months), Medium/M (four months), Long/L (six months)</w:t>
      </w:r>
      <w:r w:rsidR="003264BA">
        <w:t>. Under such a scenario, the PRC needs to have a policy for progress</w:t>
      </w:r>
      <w:r w:rsidR="00251D00">
        <w:t>ing</w:t>
      </w:r>
      <w:r w:rsidR="003264BA">
        <w:t xml:space="preserve"> through the remaining </w:t>
      </w:r>
      <w:r w:rsidR="00886E5B">
        <w:t xml:space="preserve">unscheduled </w:t>
      </w:r>
      <w:r w:rsidR="003264BA">
        <w:t>prioritized Concepts (shown in</w:t>
      </w:r>
      <w:r w:rsidR="00C60BED">
        <w:t xml:space="preserve"> </w:t>
      </w:r>
      <w:r w:rsidR="006B235D">
        <w:fldChar w:fldCharType="begin"/>
      </w:r>
      <w:r w:rsidR="006B235D">
        <w:instrText xml:space="preserve"> REF _Ref191041621 \h </w:instrText>
      </w:r>
      <w:r w:rsidR="006B235D">
        <w:fldChar w:fldCharType="separate"/>
      </w:r>
      <w:r w:rsidR="00114611">
        <w:t xml:space="preserve">Figure </w:t>
      </w:r>
      <w:r w:rsidR="00114611">
        <w:rPr>
          <w:noProof/>
        </w:rPr>
        <w:t>4</w:t>
      </w:r>
      <w:r w:rsidR="006B235D">
        <w:fldChar w:fldCharType="end"/>
      </w:r>
      <w:r w:rsidR="003264BA">
        <w:t xml:space="preserve">) </w:t>
      </w:r>
      <w:r w:rsidR="00A600AE">
        <w:t>while ensuring</w:t>
      </w:r>
      <w:r w:rsidR="00251D00">
        <w:t xml:space="preserve"> the Committee</w:t>
      </w:r>
      <w:r w:rsidR="00A600AE">
        <w:t xml:space="preserve"> has the flexibility to adapt to </w:t>
      </w:r>
      <w:r w:rsidR="009E46E1">
        <w:t>special</w:t>
      </w:r>
      <w:r w:rsidR="00A600AE">
        <w:t xml:space="preserve"> circumstances.</w:t>
      </w:r>
    </w:p>
    <w:p w14:paraId="490B37A4" w14:textId="77777777" w:rsidR="00C60BED" w:rsidRDefault="00C60BED" w:rsidP="00C60BED">
      <w:pPr>
        <w:keepNext/>
      </w:pPr>
      <w:r w:rsidRPr="00C60BED">
        <w:rPr>
          <w:noProof/>
        </w:rPr>
        <w:lastRenderedPageBreak/>
        <w:drawing>
          <wp:inline distT="0" distB="0" distL="0" distR="0" wp14:anchorId="00D3D65A" wp14:editId="66B9285C">
            <wp:extent cx="5943600" cy="3197860"/>
            <wp:effectExtent l="0" t="0" r="0" b="2540"/>
            <wp:docPr id="130332577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325772" name="Picture 1" descr="A screenshot of a computer&#10;&#10;Description automatically generated"/>
                    <pic:cNvPicPr/>
                  </pic:nvPicPr>
                  <pic:blipFill>
                    <a:blip r:embed="rId15"/>
                    <a:stretch>
                      <a:fillRect/>
                    </a:stretch>
                  </pic:blipFill>
                  <pic:spPr>
                    <a:xfrm>
                      <a:off x="0" y="0"/>
                      <a:ext cx="5943600" cy="3197860"/>
                    </a:xfrm>
                    <a:prstGeom prst="rect">
                      <a:avLst/>
                    </a:prstGeom>
                  </pic:spPr>
                </pic:pic>
              </a:graphicData>
            </a:graphic>
          </wp:inline>
        </w:drawing>
      </w:r>
    </w:p>
    <w:p w14:paraId="4E6272E8" w14:textId="4899C117" w:rsidR="00C60BED" w:rsidRDefault="00C60BED" w:rsidP="00C60BED">
      <w:pPr>
        <w:pStyle w:val="Caption"/>
        <w:jc w:val="center"/>
      </w:pPr>
      <w:bookmarkStart w:id="16" w:name="_Ref191041621"/>
      <w:r>
        <w:t xml:space="preserve">Figure </w:t>
      </w:r>
      <w:r>
        <w:fldChar w:fldCharType="begin"/>
      </w:r>
      <w:r>
        <w:instrText>SEQ Figure \* ARABIC</w:instrText>
      </w:r>
      <w:r>
        <w:fldChar w:fldCharType="separate"/>
      </w:r>
      <w:r w:rsidR="00114611">
        <w:rPr>
          <w:noProof/>
        </w:rPr>
        <w:t>4</w:t>
      </w:r>
      <w:r>
        <w:fldChar w:fldCharType="end"/>
      </w:r>
      <w:bookmarkEnd w:id="16"/>
      <w:r>
        <w:t xml:space="preserve"> - Remaining Prioritized Concepts</w:t>
      </w:r>
    </w:p>
    <w:p w14:paraId="381B27B0" w14:textId="16B42BB8" w:rsidR="00B243B0" w:rsidRDefault="00D01D31" w:rsidP="006A34AC">
      <w:r>
        <w:t>If the priority of a Concept changes during</w:t>
      </w:r>
      <w:r w:rsidR="0097449E">
        <w:t xml:space="preserve"> the implementation of the Workplan, the PRC will work with WPP</w:t>
      </w:r>
      <w:r w:rsidR="008D03CA">
        <w:t xml:space="preserve"> to see if and how</w:t>
      </w:r>
      <w:r w:rsidR="00234A35">
        <w:t xml:space="preserve"> the Concept </w:t>
      </w:r>
      <w:r w:rsidR="008D03CA">
        <w:t xml:space="preserve">could be </w:t>
      </w:r>
      <w:r w:rsidR="00842B0F">
        <w:t>accommodated. If such accommodation requires</w:t>
      </w:r>
      <w:r w:rsidR="00FF0837">
        <w:t xml:space="preserve"> potentially pushing a Concept ou</w:t>
      </w:r>
      <w:r w:rsidR="00FF0837" w:rsidRPr="005D74DC">
        <w:t>t of the 2025 Workplan, the PRC shall inform WPP</w:t>
      </w:r>
      <w:r w:rsidR="008567DC">
        <w:t>’s</w:t>
      </w:r>
      <w:r w:rsidR="00FF0837" w:rsidRPr="005D74DC">
        <w:t xml:space="preserve"> Board of Directors, RAPC, and COSR.</w:t>
      </w:r>
      <w:r w:rsidR="00AB5E0C">
        <w:t xml:space="preserve"> </w:t>
      </w:r>
    </w:p>
    <w:p w14:paraId="56598104" w14:textId="713D4E51" w:rsidR="00946A12" w:rsidRDefault="00AB5E0C" w:rsidP="006A34AC">
      <w:r>
        <w:t>Should time become available in one of the two</w:t>
      </w:r>
      <w:r w:rsidR="00187262">
        <w:t xml:space="preserve"> Long Task Force streams, the PRC will evaluate whether another Long Concept</w:t>
      </w:r>
      <w:r w:rsidR="00227012">
        <w:t xml:space="preserve"> should </w:t>
      </w:r>
      <w:r w:rsidR="00187262">
        <w:t xml:space="preserve">be </w:t>
      </w:r>
      <w:r w:rsidR="00227012">
        <w:t>accommodated</w:t>
      </w:r>
      <w:r w:rsidR="00B43F89">
        <w:t>, noting that</w:t>
      </w:r>
      <w:r w:rsidR="00FB1553">
        <w:t xml:space="preserve"> </w:t>
      </w:r>
      <w:r w:rsidR="00227012">
        <w:t xml:space="preserve">any Concept </w:t>
      </w:r>
      <w:r w:rsidR="0057664E">
        <w:t>whose development extends beyond the 2025 Workplan</w:t>
      </w:r>
      <w:r w:rsidR="00085B8B">
        <w:t xml:space="preserve"> </w:t>
      </w:r>
      <w:r w:rsidR="00FB1553">
        <w:t>(</w:t>
      </w:r>
      <w:r w:rsidR="006A7A48">
        <w:t xml:space="preserve">July 2025 - </w:t>
      </w:r>
      <w:r w:rsidR="00085B8B">
        <w:t>June 2026</w:t>
      </w:r>
      <w:r w:rsidR="006A7A48">
        <w:t>)</w:t>
      </w:r>
      <w:r w:rsidR="00085B8B">
        <w:t xml:space="preserve"> could lead to fewer Concepts being accommodated in the PRC’s 2026 Workplan.</w:t>
      </w:r>
      <w:r w:rsidR="006A7A48">
        <w:t xml:space="preserve"> If a Long Concept is not accommodated, the PRC will consider </w:t>
      </w:r>
      <w:r w:rsidR="003027B8">
        <w:t>whether a</w:t>
      </w:r>
      <w:r w:rsidR="006A7A48">
        <w:t xml:space="preserve"> shorter Concept</w:t>
      </w:r>
      <w:r w:rsidR="00A44DAC">
        <w:t xml:space="preserve"> can be assigned </w:t>
      </w:r>
      <w:r w:rsidR="003027B8">
        <w:t xml:space="preserve">a </w:t>
      </w:r>
      <w:r w:rsidR="00A44DAC">
        <w:t>Task Force</w:t>
      </w:r>
      <w:r w:rsidR="003027B8">
        <w:t>, working through Concepts</w:t>
      </w:r>
      <w:r w:rsidR="00A44DAC">
        <w:t xml:space="preserve"> as ranked in </w:t>
      </w:r>
      <w:r w:rsidR="00A44DAC">
        <w:fldChar w:fldCharType="begin"/>
      </w:r>
      <w:r w:rsidR="00A44DAC">
        <w:instrText xml:space="preserve"> REF _Ref191041621 \h </w:instrText>
      </w:r>
      <w:r w:rsidR="00A44DAC">
        <w:fldChar w:fldCharType="separate"/>
      </w:r>
      <w:r w:rsidR="00114611">
        <w:t xml:space="preserve">Figure </w:t>
      </w:r>
      <w:r w:rsidR="00114611">
        <w:rPr>
          <w:noProof/>
        </w:rPr>
        <w:t>4</w:t>
      </w:r>
      <w:r w:rsidR="00A44DAC">
        <w:fldChar w:fldCharType="end"/>
      </w:r>
      <w:r w:rsidR="00614B49">
        <w:t xml:space="preserve"> subject to special circumstances</w:t>
      </w:r>
      <w:r w:rsidR="00946A12">
        <w:t xml:space="preserve">. </w:t>
      </w:r>
    </w:p>
    <w:p w14:paraId="72F3BBB8" w14:textId="3CA29209" w:rsidR="005624FF" w:rsidRDefault="00946A12" w:rsidP="005624FF">
      <w:r>
        <w:t xml:space="preserve">Should time become available in the Task Force Stream dedicated to </w:t>
      </w:r>
      <w:r w:rsidR="00234A35">
        <w:t>shorter Concepts</w:t>
      </w:r>
      <w:r w:rsidR="00050AA5">
        <w:t xml:space="preserve"> the PRC will attempt to assign a Task Force to a Short or Medium Concept if the time available is deemed sufficient, working through Concepts as ranked in </w:t>
      </w:r>
      <w:r w:rsidR="00050AA5">
        <w:fldChar w:fldCharType="begin"/>
      </w:r>
      <w:r w:rsidR="00050AA5">
        <w:instrText xml:space="preserve"> REF _Ref191041621 \h </w:instrText>
      </w:r>
      <w:r w:rsidR="00050AA5">
        <w:fldChar w:fldCharType="separate"/>
      </w:r>
      <w:r w:rsidR="00114611">
        <w:t xml:space="preserve">Figure </w:t>
      </w:r>
      <w:r w:rsidR="00114611">
        <w:rPr>
          <w:noProof/>
        </w:rPr>
        <w:t>4</w:t>
      </w:r>
      <w:r w:rsidR="00050AA5">
        <w:fldChar w:fldCharType="end"/>
      </w:r>
      <w:r w:rsidR="00D575D6">
        <w:t xml:space="preserve"> subject to special circumstances</w:t>
      </w:r>
      <w:r w:rsidR="00050AA5">
        <w:t xml:space="preserve">. </w:t>
      </w:r>
    </w:p>
    <w:p w14:paraId="4EBA4ADF" w14:textId="1A540BAF" w:rsidR="006C1DFB" w:rsidRPr="00517D53" w:rsidRDefault="006C1DFB" w:rsidP="005624FF">
      <w:r w:rsidRPr="00517D53">
        <w:t>A draft of this 2025 Workplan was published for comment March 15</w:t>
      </w:r>
      <w:r w:rsidRPr="00517D53">
        <w:rPr>
          <w:vertAlign w:val="superscript"/>
        </w:rPr>
        <w:t>th</w:t>
      </w:r>
      <w:r w:rsidRPr="00517D53">
        <w:t xml:space="preserve"> – April 15</w:t>
      </w:r>
      <w:r w:rsidRPr="00517D53">
        <w:rPr>
          <w:vertAlign w:val="superscript"/>
        </w:rPr>
        <w:t>th</w:t>
      </w:r>
      <w:r w:rsidRPr="00517D53">
        <w:t>, 2025</w:t>
      </w:r>
      <w:r w:rsidR="0082226F" w:rsidRPr="00517D53">
        <w:t xml:space="preserve">, and the </w:t>
      </w:r>
      <w:r w:rsidRPr="00517D53">
        <w:t xml:space="preserve">PRC then had the opportunity to revise the </w:t>
      </w:r>
      <w:r w:rsidR="0082226F" w:rsidRPr="00517D53">
        <w:t>Workplan</w:t>
      </w:r>
      <w:r w:rsidRPr="00517D53">
        <w:t xml:space="preserve"> as it saw fit (</w:t>
      </w:r>
      <w:r w:rsidR="0082226F" w:rsidRPr="00517D53">
        <w:t>see</w:t>
      </w:r>
      <w:r w:rsidRPr="00517D53">
        <w:t xml:space="preserve"> Section </w:t>
      </w:r>
      <w:r w:rsidRPr="00517D53">
        <w:fldChar w:fldCharType="begin"/>
      </w:r>
      <w:r w:rsidRPr="00517D53">
        <w:instrText xml:space="preserve"> REF _Ref191462824 \r \h </w:instrText>
      </w:r>
      <w:r w:rsidRPr="00517D53">
        <w:fldChar w:fldCharType="separate"/>
      </w:r>
      <w:r w:rsidR="00114611">
        <w:t>5</w:t>
      </w:r>
      <w:r w:rsidRPr="00517D53">
        <w:fldChar w:fldCharType="end"/>
      </w:r>
      <w:r w:rsidRPr="00517D53">
        <w:t>)</w:t>
      </w:r>
      <w:r w:rsidR="0082226F" w:rsidRPr="00517D53">
        <w:t>.</w:t>
      </w:r>
    </w:p>
    <w:p w14:paraId="34800401" w14:textId="66DBB3B4" w:rsidR="004231A8" w:rsidRPr="00EC1F4F" w:rsidRDefault="005624FF" w:rsidP="00BB19A6">
      <w:pPr>
        <w:pStyle w:val="Heading1"/>
        <w:numPr>
          <w:ilvl w:val="0"/>
          <w:numId w:val="21"/>
        </w:numPr>
      </w:pPr>
      <w:bookmarkStart w:id="17" w:name="_Ref191462824"/>
      <w:bookmarkStart w:id="18" w:name="_Toc202175307"/>
      <w:r w:rsidRPr="00EC1F4F">
        <w:lastRenderedPageBreak/>
        <w:t xml:space="preserve">Changes in Response to </w:t>
      </w:r>
      <w:r w:rsidRPr="00BB19A6">
        <w:t>Comments</w:t>
      </w:r>
      <w:bookmarkEnd w:id="17"/>
      <w:bookmarkEnd w:id="18"/>
    </w:p>
    <w:p w14:paraId="1E369A86" w14:textId="30DDC8E2" w:rsidR="00374402" w:rsidRPr="00883BCD" w:rsidRDefault="00517D53" w:rsidP="00610599">
      <w:pPr>
        <w:spacing w:line="240" w:lineRule="auto"/>
      </w:pPr>
      <w:r w:rsidRPr="00883BCD">
        <w:t>A draft of this 2025 Workplan was made available for stakeholder comment March</w:t>
      </w:r>
      <w:r w:rsidR="003867B6" w:rsidRPr="00883BCD">
        <w:t xml:space="preserve"> 15</w:t>
      </w:r>
      <w:r w:rsidR="003867B6" w:rsidRPr="00883BCD">
        <w:rPr>
          <w:vertAlign w:val="superscript"/>
        </w:rPr>
        <w:t>th</w:t>
      </w:r>
      <w:r w:rsidR="003867B6" w:rsidRPr="00883BCD">
        <w:t xml:space="preserve"> – April 15</w:t>
      </w:r>
      <w:r w:rsidR="003867B6" w:rsidRPr="00883BCD">
        <w:rPr>
          <w:vertAlign w:val="superscript"/>
        </w:rPr>
        <w:t>th</w:t>
      </w:r>
      <w:r w:rsidR="003867B6" w:rsidRPr="00883BCD">
        <w:t>, 2025</w:t>
      </w:r>
      <w:r w:rsidR="00C25CC6" w:rsidRPr="00883BCD">
        <w:t>. Appendix E includes</w:t>
      </w:r>
      <w:r w:rsidR="00BA50D2" w:rsidRPr="00883BCD">
        <w:t xml:space="preserve"> all twelve sets of comments received</w:t>
      </w:r>
      <w:r w:rsidR="007654EC" w:rsidRPr="00883BCD">
        <w:t xml:space="preserve"> by the PRC. In response to those comments</w:t>
      </w:r>
      <w:r w:rsidR="00CE0868" w:rsidRPr="00883BCD">
        <w:t xml:space="preserve">, the PRC made </w:t>
      </w:r>
      <w:r w:rsidR="001643D7" w:rsidRPr="00883BCD">
        <w:t>edit</w:t>
      </w:r>
      <w:r w:rsidR="00922398" w:rsidRPr="00883BCD">
        <w:t xml:space="preserve"> to the following sections</w:t>
      </w:r>
      <w:r w:rsidR="00D005A6" w:rsidRPr="00883BCD">
        <w:t xml:space="preserve"> between April 15</w:t>
      </w:r>
      <w:r w:rsidR="00D005A6" w:rsidRPr="00883BCD">
        <w:rPr>
          <w:vertAlign w:val="superscript"/>
        </w:rPr>
        <w:t>th</w:t>
      </w:r>
      <w:r w:rsidR="0096706F" w:rsidRPr="00883BCD">
        <w:t xml:space="preserve"> and May 15</w:t>
      </w:r>
      <w:r w:rsidR="0096706F" w:rsidRPr="00883BCD">
        <w:rPr>
          <w:vertAlign w:val="superscript"/>
        </w:rPr>
        <w:t>th</w:t>
      </w:r>
      <w:r w:rsidR="0096706F" w:rsidRPr="00883BCD">
        <w:t xml:space="preserve">, </w:t>
      </w:r>
      <w:r w:rsidR="005958B4" w:rsidRPr="00883BCD">
        <w:t>as well as</w:t>
      </w:r>
      <w:r w:rsidR="001643D7" w:rsidRPr="00883BCD">
        <w:t xml:space="preserve"> updating the Task Force schedule (see </w:t>
      </w:r>
      <w:r w:rsidR="00E80208" w:rsidRPr="00883BCD">
        <w:fldChar w:fldCharType="begin"/>
      </w:r>
      <w:r w:rsidR="00E80208" w:rsidRPr="00883BCD">
        <w:instrText xml:space="preserve"> REF _Ref196136337 \h </w:instrText>
      </w:r>
      <w:r w:rsidR="00610599" w:rsidRPr="00883BCD">
        <w:instrText xml:space="preserve"> \* MERGEFORMAT </w:instrText>
      </w:r>
      <w:r w:rsidR="00E80208" w:rsidRPr="00883BCD">
        <w:fldChar w:fldCharType="separate"/>
      </w:r>
      <w:r w:rsidR="00114611" w:rsidRPr="001D6EAE">
        <w:t xml:space="preserve">Figure </w:t>
      </w:r>
      <w:r w:rsidR="00114611">
        <w:rPr>
          <w:noProof/>
        </w:rPr>
        <w:t>5</w:t>
      </w:r>
      <w:r w:rsidR="00E80208" w:rsidRPr="00883BCD">
        <w:fldChar w:fldCharType="end"/>
      </w:r>
      <w:r w:rsidR="001643D7" w:rsidRPr="00883BCD">
        <w:t>)</w:t>
      </w:r>
      <w:r w:rsidR="00CF3FA1" w:rsidRPr="00883BCD">
        <w:t>,</w:t>
      </w:r>
      <w:r w:rsidR="001643D7" w:rsidRPr="00883BCD">
        <w:t xml:space="preserve"> </w:t>
      </w:r>
      <w:r w:rsidR="0096706F" w:rsidRPr="00883BCD">
        <w:t xml:space="preserve">before distributing the Workplan to </w:t>
      </w:r>
      <w:r w:rsidR="00F1155A" w:rsidRPr="00883BCD">
        <w:t>WPP’s Board of Directors (Board) and RAPC on May 15</w:t>
      </w:r>
      <w:r w:rsidR="00F1155A" w:rsidRPr="00883BCD">
        <w:rPr>
          <w:vertAlign w:val="superscript"/>
        </w:rPr>
        <w:t>th</w:t>
      </w:r>
      <w:r w:rsidR="00CE0868" w:rsidRPr="00883BCD">
        <w:t>.</w:t>
      </w:r>
    </w:p>
    <w:p w14:paraId="0C983D53" w14:textId="0BC4E2A1" w:rsidR="00922398" w:rsidRPr="009D6F30" w:rsidRDefault="00F4230B" w:rsidP="009D6F30">
      <w:pPr>
        <w:pStyle w:val="ListParagraph"/>
        <w:numPr>
          <w:ilvl w:val="0"/>
          <w:numId w:val="95"/>
        </w:numPr>
        <w:rPr>
          <w:b/>
          <w:bCs/>
        </w:rPr>
      </w:pPr>
      <w:r w:rsidRPr="009D6F30">
        <w:rPr>
          <w:b/>
          <w:bCs/>
        </w:rPr>
        <w:t>Executive Summary</w:t>
      </w:r>
    </w:p>
    <w:p w14:paraId="254FCF9C" w14:textId="3AE44BD4" w:rsidR="00D005A6" w:rsidRPr="00883BCD" w:rsidRDefault="001D3F99" w:rsidP="00EE2143">
      <w:pPr>
        <w:pStyle w:val="ListParagraph"/>
        <w:numPr>
          <w:ilvl w:val="1"/>
          <w:numId w:val="95"/>
        </w:numPr>
      </w:pPr>
      <w:r w:rsidRPr="00883BCD">
        <w:t>Language was included</w:t>
      </w:r>
      <w:r w:rsidR="00DB5121" w:rsidRPr="00883BCD">
        <w:t xml:space="preserve"> noting the</w:t>
      </w:r>
      <w:r w:rsidR="00115234" w:rsidRPr="00883BCD">
        <w:t xml:space="preserve"> prioritization of Concepts in the Workplan reflected </w:t>
      </w:r>
      <w:r w:rsidR="00AC00A3" w:rsidRPr="00883BCD">
        <w:t xml:space="preserve">stakeholder input </w:t>
      </w:r>
      <w:r w:rsidR="00DB47DD" w:rsidRPr="00883BCD">
        <w:t>undertaken</w:t>
      </w:r>
      <w:r w:rsidR="00AC00A3" w:rsidRPr="00883BCD">
        <w:t xml:space="preserve"> in support of the continued development of the WRAP</w:t>
      </w:r>
      <w:r w:rsidR="0039769D" w:rsidRPr="00883BCD">
        <w:t xml:space="preserve">, </w:t>
      </w:r>
      <w:r w:rsidR="00AC00A3" w:rsidRPr="00883BCD">
        <w:t>as discussed in</w:t>
      </w:r>
      <w:r w:rsidR="00DB47DD" w:rsidRPr="00883BCD">
        <w:t xml:space="preserve"> more detail in</w:t>
      </w:r>
      <w:r w:rsidR="00AC00A3" w:rsidRPr="00883BCD">
        <w:t xml:space="preserve"> Section </w:t>
      </w:r>
      <w:r w:rsidR="00DB47DD" w:rsidRPr="00883BCD">
        <w:fldChar w:fldCharType="begin"/>
      </w:r>
      <w:r w:rsidR="00DB47DD" w:rsidRPr="00883BCD">
        <w:instrText xml:space="preserve"> REF _Ref189832792 \n \h </w:instrText>
      </w:r>
      <w:r w:rsidR="00DB47DD" w:rsidRPr="00883BCD">
        <w:fldChar w:fldCharType="separate"/>
      </w:r>
      <w:r w:rsidR="00114611">
        <w:t>2</w:t>
      </w:r>
      <w:r w:rsidR="00DB47DD" w:rsidRPr="00883BCD">
        <w:fldChar w:fldCharType="end"/>
      </w:r>
      <w:r w:rsidR="0039769D" w:rsidRPr="00883BCD">
        <w:t xml:space="preserve"> (Appendix E – SRP)</w:t>
      </w:r>
      <w:r w:rsidR="00DB47DD" w:rsidRPr="00883BCD">
        <w:t>.</w:t>
      </w:r>
    </w:p>
    <w:p w14:paraId="54107F55" w14:textId="7CC32938" w:rsidR="000A079E" w:rsidRPr="00883BCD" w:rsidRDefault="001D3F99" w:rsidP="00EE2143">
      <w:pPr>
        <w:pStyle w:val="ListParagraph"/>
        <w:numPr>
          <w:ilvl w:val="1"/>
          <w:numId w:val="95"/>
        </w:numPr>
      </w:pPr>
      <w:r w:rsidRPr="00883BCD">
        <w:t>A statement was added reflecting the need for the Workplan to remain flexible in response to rapidly evolving issues (Appendix E – BPA).</w:t>
      </w:r>
    </w:p>
    <w:p w14:paraId="1316ECD4" w14:textId="0AB8F94F" w:rsidR="008E209C" w:rsidRPr="009D6F30" w:rsidRDefault="004F113A" w:rsidP="009D6F30">
      <w:pPr>
        <w:pStyle w:val="ListParagraph"/>
        <w:numPr>
          <w:ilvl w:val="0"/>
          <w:numId w:val="95"/>
        </w:numPr>
        <w:rPr>
          <w:b/>
          <w:bCs/>
        </w:rPr>
      </w:pPr>
      <w:r w:rsidRPr="009D6F30">
        <w:rPr>
          <w:b/>
          <w:bCs/>
        </w:rPr>
        <w:t>Section 4 – Proposed Schedule and Plan of Action</w:t>
      </w:r>
      <w:r w:rsidR="00FA6F55" w:rsidRPr="009D6F30">
        <w:rPr>
          <w:b/>
          <w:bCs/>
        </w:rPr>
        <w:t xml:space="preserve"> / </w:t>
      </w:r>
      <w:r w:rsidR="00973C42" w:rsidRPr="009D6F30">
        <w:rPr>
          <w:b/>
          <w:bCs/>
        </w:rPr>
        <w:t>Figure 3 – Draft Task Force Schedule</w:t>
      </w:r>
    </w:p>
    <w:p w14:paraId="5835FD82" w14:textId="0DFF9B52" w:rsidR="000E30D6" w:rsidRPr="00883BCD" w:rsidRDefault="008773A6" w:rsidP="006D44AF">
      <w:pPr>
        <w:pStyle w:val="ListParagraph"/>
        <w:numPr>
          <w:ilvl w:val="1"/>
          <w:numId w:val="95"/>
        </w:numPr>
      </w:pPr>
      <w:proofErr w:type="gramStart"/>
      <w:r w:rsidRPr="00883BCD">
        <w:t xml:space="preserve">The </w:t>
      </w:r>
      <w:r w:rsidR="002847D5" w:rsidRPr="00883BCD">
        <w:t>majority of</w:t>
      </w:r>
      <w:proofErr w:type="gramEnd"/>
      <w:r w:rsidR="002847D5" w:rsidRPr="00883BCD">
        <w:t xml:space="preserve"> comments submitted proposed</w:t>
      </w:r>
      <w:r w:rsidR="001819DD" w:rsidRPr="00883BCD">
        <w:t xml:space="preserve"> prioritizing CRF-02 </w:t>
      </w:r>
      <w:r w:rsidR="001A113F" w:rsidRPr="00883BCD">
        <w:t>(Earlier FS Metrics /Monthly Volatility) in 2025 instead of</w:t>
      </w:r>
      <w:r w:rsidR="009731B3" w:rsidRPr="00883BCD">
        <w:t xml:space="preserve"> waiting until 2025 to begin developing the idea into a Proposal ready for comment (see Appendix E </w:t>
      </w:r>
      <w:r w:rsidR="00C3446D" w:rsidRPr="00883BCD">
        <w:t>–</w:t>
      </w:r>
      <w:r w:rsidR="009731B3" w:rsidRPr="00883BCD">
        <w:t xml:space="preserve"> </w:t>
      </w:r>
      <w:r w:rsidR="00C3446D" w:rsidRPr="00883BCD">
        <w:t>PAC, TPWR</w:t>
      </w:r>
      <w:r w:rsidR="00AA0A00" w:rsidRPr="00883BCD">
        <w:t xml:space="preserve">, NVE, TEA, SCL, PWX, IDP, PGE, SRP, BPA). </w:t>
      </w:r>
      <w:r w:rsidR="000E30D6" w:rsidRPr="00883BCD">
        <w:t>The common theme among proponents of this change</w:t>
      </w:r>
      <w:r w:rsidR="003A4A65" w:rsidRPr="00883BCD">
        <w:t xml:space="preserve"> was the need to reduce uncertainty</w:t>
      </w:r>
      <w:r w:rsidR="00610599" w:rsidRPr="00883BCD">
        <w:t>.</w:t>
      </w:r>
    </w:p>
    <w:p w14:paraId="251D712C" w14:textId="439998AA" w:rsidR="00435513" w:rsidRPr="00883BCD" w:rsidRDefault="00364707" w:rsidP="006D44AF">
      <w:pPr>
        <w:pStyle w:val="ListParagraph"/>
        <w:numPr>
          <w:ilvl w:val="1"/>
          <w:numId w:val="95"/>
        </w:numPr>
      </w:pPr>
      <w:r w:rsidRPr="00883BCD">
        <w:t>A plurality of</w:t>
      </w:r>
      <w:r w:rsidR="00606C66" w:rsidRPr="00883BCD">
        <w:t xml:space="preserve"> stakeholders</w:t>
      </w:r>
      <w:r w:rsidR="00AF3487" w:rsidRPr="00883BCD">
        <w:t xml:space="preserve"> </w:t>
      </w:r>
      <w:r w:rsidR="0094019A" w:rsidRPr="00883BCD">
        <w:t>suggested</w:t>
      </w:r>
      <w:r w:rsidR="00606C66" w:rsidRPr="00883BCD">
        <w:t xml:space="preserve"> CRF-02 </w:t>
      </w:r>
      <w:r w:rsidR="005027EB" w:rsidRPr="00883BCD">
        <w:t xml:space="preserve">could be reaccommodated </w:t>
      </w:r>
      <w:r w:rsidR="00606C66" w:rsidRPr="00883BCD">
        <w:t xml:space="preserve">in the Task Force schedule by </w:t>
      </w:r>
      <w:r w:rsidR="00E650CC" w:rsidRPr="00883BCD">
        <w:t>pushing out CRF-05</w:t>
      </w:r>
      <w:r w:rsidR="005E2EDA" w:rsidRPr="00883BCD">
        <w:t xml:space="preserve"> (Load Growth Factor) until 2026 (see Appendix E – TPWR, TEA, PWX, PGE, SRP, BPA).</w:t>
      </w:r>
      <w:r w:rsidR="00C13540" w:rsidRPr="00883BCD">
        <w:t xml:space="preserve"> </w:t>
      </w:r>
      <w:r w:rsidR="00E3350B" w:rsidRPr="00883BCD">
        <w:t xml:space="preserve">These commentors generally </w:t>
      </w:r>
      <w:r w:rsidR="00630173" w:rsidRPr="00883BCD">
        <w:t>agreed</w:t>
      </w:r>
      <w:r w:rsidR="00E3350B" w:rsidRPr="00883BCD">
        <w:t xml:space="preserve"> that </w:t>
      </w:r>
      <w:r w:rsidR="00B22C2B" w:rsidRPr="00883BCD">
        <w:t>while</w:t>
      </w:r>
      <w:r w:rsidR="00E3350B" w:rsidRPr="00883BCD">
        <w:t xml:space="preserve"> both</w:t>
      </w:r>
      <w:r w:rsidR="00B22C2B" w:rsidRPr="00883BCD">
        <w:t xml:space="preserve"> CRF-05 and CRF-01 (DAM Optimization /SWEDE Tx Limits) were</w:t>
      </w:r>
      <w:r w:rsidR="00F727C1" w:rsidRPr="00883BCD">
        <w:t xml:space="preserve"> </w:t>
      </w:r>
      <w:r w:rsidR="00B22C2B" w:rsidRPr="00883BCD">
        <w:t xml:space="preserve">important Concepts, </w:t>
      </w:r>
      <w:r w:rsidR="00630173" w:rsidRPr="00883BCD">
        <w:t xml:space="preserve">it was more crucial to increase </w:t>
      </w:r>
      <w:r w:rsidR="00F727C1" w:rsidRPr="00883BCD">
        <w:t>certainty around the latter</w:t>
      </w:r>
      <w:r w:rsidR="00184B02" w:rsidRPr="00883BCD">
        <w:t xml:space="preserve"> (CRF-01)</w:t>
      </w:r>
      <w:r w:rsidR="00F727C1" w:rsidRPr="00883BCD">
        <w:t xml:space="preserve"> and</w:t>
      </w:r>
      <w:r w:rsidR="00097889" w:rsidRPr="00883BCD">
        <w:t xml:space="preserve"> </w:t>
      </w:r>
      <w:r w:rsidR="00630173" w:rsidRPr="00883BCD">
        <w:t>develop a mutual increased</w:t>
      </w:r>
      <w:r w:rsidR="00097889" w:rsidRPr="00883BCD">
        <w:t xml:space="preserve"> understanding of</w:t>
      </w:r>
      <w:r w:rsidR="00F727C1" w:rsidRPr="00883BCD">
        <w:t xml:space="preserve"> </w:t>
      </w:r>
      <w:r w:rsidR="00097889" w:rsidRPr="00883BCD">
        <w:t xml:space="preserve">market </w:t>
      </w:r>
      <w:proofErr w:type="spellStart"/>
      <w:r w:rsidR="00C903A9" w:rsidRPr="00883BCD">
        <w:t>interoperabilities</w:t>
      </w:r>
      <w:proofErr w:type="spellEnd"/>
      <w:r w:rsidR="00097889" w:rsidRPr="00883BCD">
        <w:t>.</w:t>
      </w:r>
      <w:r w:rsidR="00573D69" w:rsidRPr="00883BCD">
        <w:t xml:space="preserve"> </w:t>
      </w:r>
    </w:p>
    <w:p w14:paraId="71954B3E" w14:textId="729F2309" w:rsidR="00787177" w:rsidRPr="00883BCD" w:rsidRDefault="00C13540" w:rsidP="006D44AF">
      <w:pPr>
        <w:pStyle w:val="ListParagraph"/>
        <w:numPr>
          <w:ilvl w:val="1"/>
          <w:numId w:val="95"/>
        </w:numPr>
      </w:pPr>
      <w:r w:rsidRPr="00883BCD">
        <w:t>In response to these</w:t>
      </w:r>
      <w:r w:rsidR="00AB56B4" w:rsidRPr="00883BCD">
        <w:t xml:space="preserve"> comments, the PRC updated the original draft Task Force schedule (</w:t>
      </w:r>
      <w:r w:rsidR="00EA45E4" w:rsidRPr="00883BCD">
        <w:fldChar w:fldCharType="begin"/>
      </w:r>
      <w:r w:rsidR="00EA45E4" w:rsidRPr="00883BCD">
        <w:instrText xml:space="preserve"> REF _Ref191038377 \h </w:instrText>
      </w:r>
      <w:r w:rsidR="00DC3EBD" w:rsidRPr="00883BCD">
        <w:instrText xml:space="preserve"> \* MERGEFORMAT </w:instrText>
      </w:r>
      <w:r w:rsidR="00EA45E4" w:rsidRPr="00883BCD">
        <w:fldChar w:fldCharType="separate"/>
      </w:r>
      <w:r w:rsidR="00114611">
        <w:t>Figure 3</w:t>
      </w:r>
      <w:r w:rsidR="00EA45E4" w:rsidRPr="00883BCD">
        <w:fldChar w:fldCharType="end"/>
      </w:r>
      <w:r w:rsidR="00EA45E4" w:rsidRPr="00883BCD">
        <w:t xml:space="preserve">) to that shown in </w:t>
      </w:r>
      <w:r w:rsidR="00E80208" w:rsidRPr="00883BCD">
        <w:fldChar w:fldCharType="begin"/>
      </w:r>
      <w:r w:rsidR="00E80208" w:rsidRPr="00883BCD">
        <w:instrText xml:space="preserve"> REF _Ref196136337 \h </w:instrText>
      </w:r>
      <w:r w:rsidR="00DC3EBD" w:rsidRPr="00883BCD">
        <w:instrText xml:space="preserve"> \* MERGEFORMAT </w:instrText>
      </w:r>
      <w:r w:rsidR="00E80208" w:rsidRPr="00883BCD">
        <w:fldChar w:fldCharType="separate"/>
      </w:r>
      <w:r w:rsidR="00114611" w:rsidRPr="001D6EAE">
        <w:t xml:space="preserve">Figure </w:t>
      </w:r>
      <w:r w:rsidR="00114611">
        <w:t>5</w:t>
      </w:r>
      <w:r w:rsidR="00E80208" w:rsidRPr="00883BCD">
        <w:fldChar w:fldCharType="end"/>
      </w:r>
      <w:r w:rsidR="00E80208" w:rsidRPr="00883BCD">
        <w:t>.</w:t>
      </w:r>
    </w:p>
    <w:p w14:paraId="3F739272" w14:textId="2643CE72" w:rsidR="00E80208" w:rsidRDefault="00515FE4" w:rsidP="00E80208">
      <w:pPr>
        <w:keepNext/>
      </w:pPr>
      <w:r>
        <w:object w:dxaOrig="23245" w:dyaOrig="24811" w14:anchorId="7D7E4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35pt;height:498.65pt" o:ole="">
            <v:imagedata r:id="rId16" o:title=""/>
          </v:shape>
          <o:OLEObject Type="Embed" ProgID="Visio.Drawing.15" ShapeID="_x0000_i1025" DrawAspect="Content" ObjectID="_1814099681" r:id="rId17"/>
        </w:object>
      </w:r>
    </w:p>
    <w:p w14:paraId="7967D5EA" w14:textId="111DCBD8" w:rsidR="00C51D58" w:rsidRPr="001D6EAE" w:rsidRDefault="00E80208" w:rsidP="00E80208">
      <w:pPr>
        <w:pStyle w:val="Caption"/>
        <w:jc w:val="center"/>
        <w:rPr>
          <w:color w:val="auto"/>
        </w:rPr>
      </w:pPr>
      <w:bookmarkStart w:id="19" w:name="_Ref196136337"/>
      <w:r w:rsidRPr="001D6EAE">
        <w:rPr>
          <w:color w:val="auto"/>
        </w:rPr>
        <w:t xml:space="preserve">Figure </w:t>
      </w:r>
      <w:r w:rsidRPr="001D6EAE">
        <w:rPr>
          <w:color w:val="auto"/>
        </w:rPr>
        <w:fldChar w:fldCharType="begin"/>
      </w:r>
      <w:r w:rsidRPr="001D6EAE">
        <w:rPr>
          <w:color w:val="auto"/>
        </w:rPr>
        <w:instrText xml:space="preserve"> SEQ Figure \* ARABIC </w:instrText>
      </w:r>
      <w:r w:rsidRPr="001D6EAE">
        <w:rPr>
          <w:color w:val="auto"/>
        </w:rPr>
        <w:fldChar w:fldCharType="separate"/>
      </w:r>
      <w:r w:rsidR="00114611">
        <w:rPr>
          <w:noProof/>
          <w:color w:val="auto"/>
        </w:rPr>
        <w:t>5</w:t>
      </w:r>
      <w:r w:rsidRPr="001D6EAE">
        <w:rPr>
          <w:color w:val="auto"/>
        </w:rPr>
        <w:fldChar w:fldCharType="end"/>
      </w:r>
      <w:bookmarkEnd w:id="19"/>
      <w:r w:rsidR="00BD623E" w:rsidRPr="001D6EAE">
        <w:rPr>
          <w:color w:val="auto"/>
        </w:rPr>
        <w:t xml:space="preserve"> </w:t>
      </w:r>
      <w:r w:rsidRPr="001D6EAE">
        <w:rPr>
          <w:color w:val="auto"/>
        </w:rPr>
        <w:t>- Task Force Schedule Updated in Response to Stakeholder Comments</w:t>
      </w:r>
    </w:p>
    <w:p w14:paraId="738A16D6" w14:textId="77777777" w:rsidR="00C51D58" w:rsidRPr="00787177" w:rsidRDefault="00C51D58" w:rsidP="00C51D58"/>
    <w:p w14:paraId="60DD4D28" w14:textId="77777777" w:rsidR="00E22D17" w:rsidRDefault="00B648AB" w:rsidP="00B648AB">
      <w:pPr>
        <w:pStyle w:val="Heading1"/>
        <w:numPr>
          <w:ilvl w:val="0"/>
          <w:numId w:val="21"/>
        </w:numPr>
      </w:pPr>
      <w:bookmarkStart w:id="20" w:name="_Ref191391239"/>
      <w:bookmarkStart w:id="21" w:name="_Toc202175308"/>
      <w:r>
        <w:t>Next Steps</w:t>
      </w:r>
      <w:bookmarkEnd w:id="20"/>
      <w:bookmarkEnd w:id="21"/>
    </w:p>
    <w:p w14:paraId="01F17B9D" w14:textId="2627483B" w:rsidR="00511BFE" w:rsidRPr="00086E93" w:rsidRDefault="00086E93" w:rsidP="00511BFE">
      <w:pPr>
        <w:rPr>
          <w:color w:val="808080" w:themeColor="background1" w:themeShade="80"/>
        </w:rPr>
      </w:pPr>
      <w:r>
        <w:t>The PRC</w:t>
      </w:r>
      <w:r w:rsidR="00BB6CEB" w:rsidRPr="005A52D3">
        <w:t xml:space="preserve"> distribute</w:t>
      </w:r>
      <w:r>
        <w:t>d</w:t>
      </w:r>
      <w:r w:rsidR="00BB6CEB" w:rsidRPr="005A52D3">
        <w:t xml:space="preserve"> </w:t>
      </w:r>
      <w:r>
        <w:t>this Workplan</w:t>
      </w:r>
      <w:r w:rsidR="00BB6CEB" w:rsidRPr="005A52D3">
        <w:t xml:space="preserve"> to </w:t>
      </w:r>
      <w:r w:rsidR="00F1155A">
        <w:t>the WPP Board</w:t>
      </w:r>
      <w:r w:rsidR="00BB6CEB" w:rsidRPr="005A52D3">
        <w:t xml:space="preserve"> and RAPC on May 15</w:t>
      </w:r>
      <w:r w:rsidR="00BB6CEB" w:rsidRPr="005A52D3">
        <w:rPr>
          <w:vertAlign w:val="superscript"/>
        </w:rPr>
        <w:t>th</w:t>
      </w:r>
      <w:r w:rsidR="00BB6CEB" w:rsidRPr="001D3BAD">
        <w:rPr>
          <w:color w:val="808080" w:themeColor="background1" w:themeShade="80"/>
        </w:rPr>
        <w:t>.</w:t>
      </w:r>
      <w:r>
        <w:rPr>
          <w:color w:val="808080" w:themeColor="background1" w:themeShade="80"/>
        </w:rPr>
        <w:t xml:space="preserve"> </w:t>
      </w:r>
      <w:r w:rsidR="00BB6CEB" w:rsidRPr="005A52D3">
        <w:t>The Board will consider and act on the 2025 Workplan in public session no later than its next quarterly meeting</w:t>
      </w:r>
      <w:r>
        <w:t xml:space="preserve"> on June 25</w:t>
      </w:r>
      <w:r w:rsidRPr="00086E93">
        <w:rPr>
          <w:vertAlign w:val="superscript"/>
        </w:rPr>
        <w:t>th</w:t>
      </w:r>
      <w:r>
        <w:t>, 2025,</w:t>
      </w:r>
      <w:r w:rsidR="00BB6CEB" w:rsidRPr="005A52D3">
        <w:t xml:space="preserve"> during which RAPC and other stakeholders will have the </w:t>
      </w:r>
      <w:r w:rsidR="00BB6CEB" w:rsidRPr="005A52D3">
        <w:lastRenderedPageBreak/>
        <w:t xml:space="preserve">opportunity to </w:t>
      </w:r>
      <w:r w:rsidR="00BB6CEB" w:rsidRPr="00511BFE">
        <w:t>comment</w:t>
      </w:r>
      <w:r w:rsidR="002B2817">
        <w:t xml:space="preserve"> (See Section </w:t>
      </w:r>
      <w:r w:rsidR="002B2817">
        <w:fldChar w:fldCharType="begin"/>
      </w:r>
      <w:r w:rsidR="002B2817">
        <w:instrText xml:space="preserve"> REF _Ref196132140 \n \h </w:instrText>
      </w:r>
      <w:r w:rsidR="002B2817">
        <w:fldChar w:fldCharType="separate"/>
      </w:r>
      <w:r w:rsidR="00114611">
        <w:t>7</w:t>
      </w:r>
      <w:r w:rsidR="002B2817">
        <w:fldChar w:fldCharType="end"/>
      </w:r>
      <w:r w:rsidR="002B2817">
        <w:t>)</w:t>
      </w:r>
      <w:r w:rsidR="00BB6CEB" w:rsidRPr="005A52D3">
        <w:t>. Board approval of the 2025 Workplan will trigger implementation of the Task Force schedule, launching the process of developing prioritized Concepts into Proposals ready for stakeholder comment before consideration by the Board.</w:t>
      </w:r>
    </w:p>
    <w:p w14:paraId="7AAF69ED" w14:textId="7A9260DE" w:rsidR="000C15A7" w:rsidRDefault="00511BFE" w:rsidP="00BB19A6">
      <w:pPr>
        <w:pStyle w:val="Heading1"/>
        <w:numPr>
          <w:ilvl w:val="0"/>
          <w:numId w:val="21"/>
        </w:numPr>
      </w:pPr>
      <w:bookmarkStart w:id="22" w:name="_Ref202174930"/>
      <w:bookmarkStart w:id="23" w:name="_Toc202175309"/>
      <w:bookmarkStart w:id="24" w:name="_Ref196132140"/>
      <w:bookmarkStart w:id="25" w:name="_Ref196133798"/>
      <w:r w:rsidRPr="00BB19A6">
        <w:t>Board Consideration</w:t>
      </w:r>
      <w:bookmarkEnd w:id="22"/>
      <w:bookmarkEnd w:id="23"/>
      <w:r w:rsidR="002B2817">
        <w:t xml:space="preserve"> </w:t>
      </w:r>
      <w:bookmarkEnd w:id="24"/>
      <w:bookmarkEnd w:id="25"/>
    </w:p>
    <w:p w14:paraId="7D067B51" w14:textId="7821C6C1" w:rsidR="00DD3E32" w:rsidRPr="00927B0F" w:rsidRDefault="00FF5524" w:rsidP="00927B0F">
      <w:r>
        <w:t xml:space="preserve">The Board </w:t>
      </w:r>
      <w:r w:rsidR="00D65B85" w:rsidRPr="002F4197">
        <w:t>approv</w:t>
      </w:r>
      <w:r w:rsidR="00D65B85">
        <w:t>ed</w:t>
      </w:r>
      <w:r w:rsidR="00D65B85" w:rsidRPr="002F4197">
        <w:t xml:space="preserve"> the 2025 Workplan </w:t>
      </w:r>
      <w:r w:rsidR="00D65B85">
        <w:t>as presented</w:t>
      </w:r>
      <w:r w:rsidR="005B2E7D">
        <w:t xml:space="preserve"> (see </w:t>
      </w:r>
      <w:r w:rsidR="005B2E7D">
        <w:fldChar w:fldCharType="begin"/>
      </w:r>
      <w:r w:rsidR="005B2E7D">
        <w:instrText xml:space="preserve"> REF _Ref202175078 \h </w:instrText>
      </w:r>
      <w:r w:rsidR="005B2E7D">
        <w:fldChar w:fldCharType="separate"/>
      </w:r>
      <w:r w:rsidR="005B2E7D">
        <w:t>Appendix F – WPP Board Meeting Jun.</w:t>
      </w:r>
      <w:r w:rsidR="005B2E7D" w:rsidRPr="00543F21">
        <w:t xml:space="preserve"> </w:t>
      </w:r>
      <w:r w:rsidR="005B2E7D">
        <w:t>25</w:t>
      </w:r>
      <w:r w:rsidR="005B2E7D">
        <w:rPr>
          <w:vertAlign w:val="superscript"/>
        </w:rPr>
        <w:t>th</w:t>
      </w:r>
      <w:r w:rsidR="005B2E7D" w:rsidRPr="00543F21">
        <w:t>, 202</w:t>
      </w:r>
      <w:r w:rsidR="005B2E7D">
        <w:t>5</w:t>
      </w:r>
      <w:r w:rsidR="005B2E7D" w:rsidRPr="00543F21">
        <w:t xml:space="preserve">; </w:t>
      </w:r>
      <w:r w:rsidR="005B2E7D">
        <w:t>9:00-</w:t>
      </w:r>
      <w:r w:rsidR="005B2E7D" w:rsidRPr="00543F21">
        <w:t>1</w:t>
      </w:r>
      <w:r w:rsidR="005B2E7D">
        <w:t>0:30a</w:t>
      </w:r>
      <w:r w:rsidR="005B2E7D" w:rsidRPr="00543F21">
        <w:t xml:space="preserve">m </w:t>
      </w:r>
      <w:r w:rsidR="005B2E7D">
        <w:t>PT</w:t>
      </w:r>
      <w:r w:rsidR="005B2E7D">
        <w:fldChar w:fldCharType="end"/>
      </w:r>
      <w:r w:rsidR="005B2E7D">
        <w:t>)</w:t>
      </w:r>
      <w:r w:rsidR="00D65B85">
        <w:t>,</w:t>
      </w:r>
      <w:r w:rsidR="00D65B85" w:rsidRPr="002F4197">
        <w:t xml:space="preserve"> trigger</w:t>
      </w:r>
      <w:r w:rsidR="00D65B85">
        <w:t>ing</w:t>
      </w:r>
      <w:r w:rsidR="00D65B85" w:rsidRPr="002F4197">
        <w:t xml:space="preserve"> implementation of the Task Force schedule</w:t>
      </w:r>
      <w:r w:rsidR="005B2E7D">
        <w:t xml:space="preserve"> (see </w:t>
      </w:r>
      <w:r w:rsidR="005B2E7D">
        <w:fldChar w:fldCharType="begin"/>
      </w:r>
      <w:r w:rsidR="005B2E7D">
        <w:instrText xml:space="preserve"> REF _Ref196136337 \h </w:instrText>
      </w:r>
      <w:r w:rsidR="005B2E7D">
        <w:fldChar w:fldCharType="separate"/>
      </w:r>
      <w:r w:rsidR="005B2E7D" w:rsidRPr="001D6EAE">
        <w:t xml:space="preserve">Figure </w:t>
      </w:r>
      <w:r w:rsidR="005B2E7D">
        <w:rPr>
          <w:noProof/>
        </w:rPr>
        <w:t>5</w:t>
      </w:r>
      <w:r w:rsidR="005B2E7D">
        <w:fldChar w:fldCharType="end"/>
      </w:r>
      <w:r w:rsidR="005B2E7D">
        <w:t>)</w:t>
      </w:r>
      <w:r w:rsidR="00D65B85">
        <w:t xml:space="preserve"> and </w:t>
      </w:r>
      <w:r w:rsidR="00D65B85" w:rsidRPr="002F4197">
        <w:t>launching the process of developing prioritized Concepts into Proposals ready for stakeholder comment before consideration by the Board.</w:t>
      </w:r>
      <w:r w:rsidR="00954435">
        <w:t xml:space="preserve"> The Board also received comment </w:t>
      </w:r>
      <w:r w:rsidR="00FA1324">
        <w:t xml:space="preserve">complimenting WPP staff’s leadership </w:t>
      </w:r>
      <w:r w:rsidR="00927B0F">
        <w:t xml:space="preserve">during the development of the 2025 Workplan (see </w:t>
      </w:r>
      <w:r w:rsidR="00927B0F">
        <w:fldChar w:fldCharType="begin"/>
      </w:r>
      <w:r w:rsidR="00927B0F">
        <w:instrText xml:space="preserve"> REF _Ref202175078 \h </w:instrText>
      </w:r>
      <w:r w:rsidR="00927B0F">
        <w:fldChar w:fldCharType="separate"/>
      </w:r>
      <w:r w:rsidR="00927B0F">
        <w:t>Appendix F – WPP Board Meeting Jun.</w:t>
      </w:r>
      <w:r w:rsidR="00927B0F" w:rsidRPr="00543F21">
        <w:t xml:space="preserve"> </w:t>
      </w:r>
      <w:r w:rsidR="00927B0F">
        <w:t>25</w:t>
      </w:r>
      <w:r w:rsidR="00927B0F">
        <w:rPr>
          <w:vertAlign w:val="superscript"/>
        </w:rPr>
        <w:t>th</w:t>
      </w:r>
      <w:r w:rsidR="00927B0F" w:rsidRPr="00543F21">
        <w:t>, 202</w:t>
      </w:r>
      <w:r w:rsidR="00927B0F">
        <w:t>5</w:t>
      </w:r>
      <w:r w:rsidR="00927B0F" w:rsidRPr="00543F21">
        <w:t xml:space="preserve">; </w:t>
      </w:r>
      <w:r w:rsidR="00927B0F">
        <w:t>9:00-</w:t>
      </w:r>
      <w:r w:rsidR="00927B0F" w:rsidRPr="00543F21">
        <w:t>1</w:t>
      </w:r>
      <w:r w:rsidR="00927B0F">
        <w:t>0:30a</w:t>
      </w:r>
      <w:r w:rsidR="00927B0F" w:rsidRPr="00543F21">
        <w:t xml:space="preserve">m </w:t>
      </w:r>
      <w:r w:rsidR="00927B0F">
        <w:t>PT</w:t>
      </w:r>
      <w:r w:rsidR="00927B0F">
        <w:fldChar w:fldCharType="end"/>
      </w:r>
      <w:r w:rsidR="00927B0F">
        <w:t>)</w:t>
      </w:r>
      <w:r w:rsidR="00963146">
        <w:t>.</w:t>
      </w:r>
    </w:p>
    <w:p w14:paraId="480EE316" w14:textId="77777777" w:rsidR="00DD3E32" w:rsidRPr="00DD3E32" w:rsidRDefault="00DD3E32" w:rsidP="00DD3E32"/>
    <w:p w14:paraId="123E6F45" w14:textId="098B2798" w:rsidR="00A11422" w:rsidRPr="00BB19A6" w:rsidRDefault="00A11422" w:rsidP="00BB6CEB">
      <w:r w:rsidRPr="00BB19A6">
        <w:br w:type="page"/>
      </w:r>
    </w:p>
    <w:p w14:paraId="2C078E63" w14:textId="3A59632C" w:rsidR="00B36872" w:rsidRDefault="0090384F">
      <w:r>
        <w:rPr>
          <w:noProof/>
        </w:rPr>
        <w:lastRenderedPageBreak/>
        <w:drawing>
          <wp:anchor distT="0" distB="0" distL="114300" distR="114300" simplePos="0" relativeHeight="251658240" behindDoc="0" locked="0" layoutInCell="1" allowOverlap="1" wp14:anchorId="1AF7FD11" wp14:editId="5A28E5D5">
            <wp:simplePos x="0" y="0"/>
            <wp:positionH relativeFrom="margin">
              <wp:posOffset>1447800</wp:posOffset>
            </wp:positionH>
            <wp:positionV relativeFrom="paragraph">
              <wp:posOffset>390525</wp:posOffset>
            </wp:positionV>
            <wp:extent cx="3124200" cy="2700020"/>
            <wp:effectExtent l="0" t="0" r="0" b="0"/>
            <wp:wrapTopAndBottom/>
            <wp:docPr id="277153884" name="Picture 6"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153884" name="Picture 6" descr="A logo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4200" cy="2700020"/>
                    </a:xfrm>
                    <a:prstGeom prst="rect">
                      <a:avLst/>
                    </a:prstGeom>
                    <a:noFill/>
                  </pic:spPr>
                </pic:pic>
              </a:graphicData>
            </a:graphic>
          </wp:anchor>
        </w:drawing>
      </w:r>
    </w:p>
    <w:p w14:paraId="44F1313B" w14:textId="0C246F12" w:rsidR="00C10484" w:rsidRDefault="00C10484"/>
    <w:p w14:paraId="69AEAD6A" w14:textId="3CA95840" w:rsidR="00C10484" w:rsidRPr="00FE4665" w:rsidRDefault="00C10484" w:rsidP="00FE4665">
      <w:pPr>
        <w:jc w:val="center"/>
        <w:rPr>
          <w:rFonts w:asciiTheme="majorHAnsi" w:hAnsiTheme="majorHAnsi"/>
          <w:sz w:val="40"/>
          <w:szCs w:val="40"/>
        </w:rPr>
      </w:pPr>
      <w:r w:rsidRPr="00FE4665">
        <w:rPr>
          <w:rFonts w:asciiTheme="majorHAnsi" w:hAnsiTheme="majorHAnsi"/>
          <w:sz w:val="40"/>
          <w:szCs w:val="40"/>
        </w:rPr>
        <w:t>Program Review Committee</w:t>
      </w:r>
    </w:p>
    <w:p w14:paraId="012B1A3A" w14:textId="4F0684CC" w:rsidR="00EE4C86" w:rsidRPr="006D1573" w:rsidRDefault="00EE4C86" w:rsidP="00FE4665">
      <w:pPr>
        <w:jc w:val="center"/>
      </w:pPr>
      <w:r w:rsidRPr="00FE4665">
        <w:rPr>
          <w:rFonts w:asciiTheme="majorHAnsi" w:hAnsiTheme="majorHAnsi"/>
          <w:sz w:val="40"/>
          <w:szCs w:val="40"/>
        </w:rPr>
        <w:t>2025 Workplan Development</w:t>
      </w:r>
    </w:p>
    <w:p w14:paraId="6BFEC5FD" w14:textId="408D7405" w:rsidR="00FC71FD" w:rsidRPr="009A230E" w:rsidRDefault="003830DD" w:rsidP="00FE4665">
      <w:pPr>
        <w:pStyle w:val="Heading1"/>
        <w:jc w:val="center"/>
        <w:rPr>
          <w:color w:val="auto"/>
        </w:rPr>
      </w:pPr>
      <w:bookmarkStart w:id="26" w:name="_Ref189748207"/>
      <w:bookmarkStart w:id="27" w:name="_Toc202175310"/>
      <w:r>
        <w:rPr>
          <w:color w:val="auto"/>
        </w:rPr>
        <w:t xml:space="preserve">Appendix A - </w:t>
      </w:r>
      <w:r w:rsidR="00FC71FD" w:rsidRPr="009A230E">
        <w:rPr>
          <w:color w:val="auto"/>
        </w:rPr>
        <w:t>Change Request Form Compilation</w:t>
      </w:r>
      <w:bookmarkEnd w:id="26"/>
      <w:bookmarkEnd w:id="27"/>
    </w:p>
    <w:p w14:paraId="4058F2EC" w14:textId="401FFAC4" w:rsidR="0090384F" w:rsidRPr="00FE4665" w:rsidRDefault="0090384F" w:rsidP="00FE4665">
      <w:pPr>
        <w:jc w:val="center"/>
        <w:rPr>
          <w:rFonts w:asciiTheme="majorHAnsi" w:hAnsiTheme="majorHAnsi"/>
          <w:sz w:val="40"/>
          <w:szCs w:val="40"/>
        </w:rPr>
      </w:pPr>
      <w:r w:rsidRPr="00FE4665">
        <w:rPr>
          <w:rFonts w:asciiTheme="majorHAnsi" w:hAnsiTheme="majorHAnsi"/>
          <w:sz w:val="40"/>
          <w:szCs w:val="40"/>
        </w:rPr>
        <w:t>January 2025</w:t>
      </w:r>
    </w:p>
    <w:bookmarkEnd w:id="1"/>
    <w:p w14:paraId="25E41AC7" w14:textId="77777777" w:rsidR="0090384F" w:rsidRDefault="0090384F">
      <w:pPr>
        <w:rPr>
          <w:sz w:val="44"/>
          <w:szCs w:val="44"/>
        </w:rPr>
      </w:pPr>
      <w:r>
        <w:rPr>
          <w:sz w:val="44"/>
          <w:szCs w:val="44"/>
        </w:rPr>
        <w:br w:type="page"/>
      </w:r>
    </w:p>
    <w:p w14:paraId="3CAA00D4" w14:textId="394A88D6" w:rsidR="00EE1691" w:rsidRDefault="00EE1691" w:rsidP="00EE1691">
      <w:pPr>
        <w:rPr>
          <w:rFonts w:asciiTheme="majorHAnsi" w:hAnsiTheme="majorHAnsi"/>
          <w:color w:val="215E99" w:themeColor="text2" w:themeTint="BF"/>
          <w:sz w:val="40"/>
          <w:szCs w:val="40"/>
        </w:rPr>
      </w:pPr>
      <w:r w:rsidRPr="00EE1691">
        <w:rPr>
          <w:rFonts w:asciiTheme="majorHAnsi" w:hAnsiTheme="majorHAnsi"/>
          <w:color w:val="215E99" w:themeColor="text2" w:themeTint="BF"/>
          <w:sz w:val="40"/>
          <w:szCs w:val="40"/>
        </w:rPr>
        <w:lastRenderedPageBreak/>
        <w:t>Table of Contents</w:t>
      </w:r>
    </w:p>
    <w:p w14:paraId="3727E520" w14:textId="465AEA72" w:rsidR="00D9119D" w:rsidRDefault="009A230E" w:rsidP="00883BCD">
      <w:pPr>
        <w:pStyle w:val="TOC1"/>
        <w:rPr>
          <w:kern w:val="2"/>
          <w:lang w:eastAsia="en-US"/>
          <w14:ligatures w14:val="standardContextual"/>
        </w:rPr>
      </w:pPr>
      <w:r>
        <w:rPr>
          <w:rFonts w:asciiTheme="majorHAnsi" w:hAnsiTheme="majorHAnsi"/>
          <w:color w:val="215E99" w:themeColor="text2" w:themeTint="BF"/>
          <w:sz w:val="40"/>
          <w:szCs w:val="40"/>
        </w:rPr>
        <w:fldChar w:fldCharType="begin"/>
      </w:r>
      <w:r>
        <w:rPr>
          <w:rFonts w:asciiTheme="majorHAnsi" w:hAnsiTheme="majorHAnsi"/>
          <w:color w:val="215E99" w:themeColor="text2" w:themeTint="BF"/>
          <w:sz w:val="40"/>
          <w:szCs w:val="40"/>
        </w:rPr>
        <w:instrText xml:space="preserve"> TOC \bTOC2CRFCompilation \* MERGEFORMAT </w:instrText>
      </w:r>
      <w:r>
        <w:rPr>
          <w:rFonts w:asciiTheme="majorHAnsi" w:hAnsiTheme="majorHAnsi"/>
          <w:color w:val="215E99" w:themeColor="text2" w:themeTint="BF"/>
          <w:sz w:val="40"/>
          <w:szCs w:val="40"/>
        </w:rPr>
        <w:fldChar w:fldCharType="separate"/>
      </w:r>
      <w:r w:rsidR="00D9119D">
        <w:t>Introduction</w:t>
      </w:r>
      <w:r w:rsidR="00D9119D">
        <w:tab/>
      </w:r>
      <w:r w:rsidR="00D9119D">
        <w:fldChar w:fldCharType="begin"/>
      </w:r>
      <w:r w:rsidR="00D9119D">
        <w:instrText xml:space="preserve"> PAGEREF _Toc189840317 \h </w:instrText>
      </w:r>
      <w:r w:rsidR="00D9119D">
        <w:fldChar w:fldCharType="separate"/>
      </w:r>
      <w:r w:rsidR="007A21C2">
        <w:t>18</w:t>
      </w:r>
      <w:r w:rsidR="00D9119D">
        <w:fldChar w:fldCharType="end"/>
      </w:r>
    </w:p>
    <w:p w14:paraId="108DBAE5" w14:textId="5AEA0162" w:rsidR="00D9119D" w:rsidRDefault="00D9119D" w:rsidP="00883BCD">
      <w:pPr>
        <w:pStyle w:val="TOC1"/>
        <w:rPr>
          <w:kern w:val="2"/>
          <w:lang w:eastAsia="en-US"/>
          <w14:ligatures w14:val="standardContextual"/>
        </w:rPr>
      </w:pPr>
      <w:r>
        <w:t>2024-CRF-001 / NVE / SWEDE Transmission Limits</w:t>
      </w:r>
      <w:r>
        <w:tab/>
      </w:r>
      <w:r>
        <w:fldChar w:fldCharType="begin"/>
      </w:r>
      <w:r>
        <w:instrText xml:space="preserve"> PAGEREF _Toc189840318 \h </w:instrText>
      </w:r>
      <w:r>
        <w:fldChar w:fldCharType="separate"/>
      </w:r>
      <w:r w:rsidR="007A21C2">
        <w:t>19</w:t>
      </w:r>
      <w:r>
        <w:fldChar w:fldCharType="end"/>
      </w:r>
    </w:p>
    <w:p w14:paraId="2847947F" w14:textId="71A0E40B" w:rsidR="00D9119D" w:rsidRDefault="00D9119D" w:rsidP="00883BCD">
      <w:pPr>
        <w:pStyle w:val="TOC1"/>
        <w:rPr>
          <w:kern w:val="2"/>
          <w:lang w:eastAsia="en-US"/>
          <w14:ligatures w14:val="standardContextual"/>
        </w:rPr>
      </w:pPr>
      <w:r>
        <w:t>2024-CRF-002 / NVE / Earlier Forward Showing Metrics</w:t>
      </w:r>
      <w:r>
        <w:tab/>
      </w:r>
      <w:r>
        <w:fldChar w:fldCharType="begin"/>
      </w:r>
      <w:r>
        <w:instrText xml:space="preserve"> PAGEREF _Toc189840319 \h </w:instrText>
      </w:r>
      <w:r>
        <w:fldChar w:fldCharType="separate"/>
      </w:r>
      <w:r w:rsidR="007A21C2">
        <w:t>21</w:t>
      </w:r>
      <w:r>
        <w:fldChar w:fldCharType="end"/>
      </w:r>
    </w:p>
    <w:p w14:paraId="5D18938B" w14:textId="350B66CC" w:rsidR="00D9119D" w:rsidRDefault="00D9119D" w:rsidP="00883BCD">
      <w:pPr>
        <w:pStyle w:val="TOC1"/>
        <w:rPr>
          <w:kern w:val="2"/>
          <w:lang w:eastAsia="en-US"/>
          <w14:ligatures w14:val="standardContextual"/>
        </w:rPr>
      </w:pPr>
      <w:r>
        <w:t>2024-CRF-003 / APS / Demand Response QCC</w:t>
      </w:r>
      <w:r>
        <w:tab/>
      </w:r>
      <w:r>
        <w:fldChar w:fldCharType="begin"/>
      </w:r>
      <w:r>
        <w:instrText xml:space="preserve"> PAGEREF _Toc189840320 \h </w:instrText>
      </w:r>
      <w:r>
        <w:fldChar w:fldCharType="separate"/>
      </w:r>
      <w:r w:rsidR="007A21C2">
        <w:t>23</w:t>
      </w:r>
      <w:r>
        <w:fldChar w:fldCharType="end"/>
      </w:r>
    </w:p>
    <w:p w14:paraId="12E1194F" w14:textId="1359F0A3" w:rsidR="00D9119D" w:rsidRDefault="00D9119D" w:rsidP="00883BCD">
      <w:pPr>
        <w:pStyle w:val="TOC1"/>
        <w:rPr>
          <w:kern w:val="2"/>
          <w:lang w:eastAsia="en-US"/>
          <w14:ligatures w14:val="standardContextual"/>
        </w:rPr>
      </w:pPr>
      <w:r>
        <w:t>2024-CRF-004 / APS / Day Ahead Market Optimization</w:t>
      </w:r>
      <w:r>
        <w:tab/>
      </w:r>
      <w:r>
        <w:fldChar w:fldCharType="begin"/>
      </w:r>
      <w:r>
        <w:instrText xml:space="preserve"> PAGEREF _Toc189840321 \h </w:instrText>
      </w:r>
      <w:r>
        <w:fldChar w:fldCharType="separate"/>
      </w:r>
      <w:r w:rsidR="007A21C2">
        <w:t>25</w:t>
      </w:r>
      <w:r>
        <w:fldChar w:fldCharType="end"/>
      </w:r>
    </w:p>
    <w:p w14:paraId="6094AF0F" w14:textId="23F4B3AC" w:rsidR="00D9119D" w:rsidRDefault="00D9119D" w:rsidP="00883BCD">
      <w:pPr>
        <w:pStyle w:val="TOC1"/>
        <w:rPr>
          <w:kern w:val="2"/>
          <w:lang w:eastAsia="en-US"/>
          <w14:ligatures w14:val="standardContextual"/>
        </w:rPr>
      </w:pPr>
      <w:r>
        <w:t>2024-CRF-005 / APS / Load Growth Factor</w:t>
      </w:r>
      <w:r>
        <w:tab/>
      </w:r>
      <w:r>
        <w:fldChar w:fldCharType="begin"/>
      </w:r>
      <w:r>
        <w:instrText xml:space="preserve"> PAGEREF _Toc189840322 \h </w:instrText>
      </w:r>
      <w:r>
        <w:fldChar w:fldCharType="separate"/>
      </w:r>
      <w:r w:rsidR="007A21C2">
        <w:t>26</w:t>
      </w:r>
      <w:r>
        <w:fldChar w:fldCharType="end"/>
      </w:r>
    </w:p>
    <w:p w14:paraId="430CB79A" w14:textId="1F2126C4" w:rsidR="00D9119D" w:rsidRDefault="00D9119D" w:rsidP="00883BCD">
      <w:pPr>
        <w:pStyle w:val="TOC1"/>
        <w:rPr>
          <w:kern w:val="2"/>
          <w:lang w:eastAsia="en-US"/>
          <w14:ligatures w14:val="standardContextual"/>
        </w:rPr>
      </w:pPr>
      <w:r>
        <w:t>2024-CRF-008 / SRP / CAISO Firm Transmission</w:t>
      </w:r>
      <w:r>
        <w:tab/>
      </w:r>
      <w:r>
        <w:fldChar w:fldCharType="begin"/>
      </w:r>
      <w:r>
        <w:instrText xml:space="preserve"> PAGEREF _Toc189840323 \h </w:instrText>
      </w:r>
      <w:r>
        <w:fldChar w:fldCharType="separate"/>
      </w:r>
      <w:r w:rsidR="007A21C2">
        <w:t>27</w:t>
      </w:r>
      <w:r>
        <w:fldChar w:fldCharType="end"/>
      </w:r>
    </w:p>
    <w:p w14:paraId="59EC7106" w14:textId="7CDCBD1F" w:rsidR="00D9119D" w:rsidRDefault="00D9119D" w:rsidP="00883BCD">
      <w:pPr>
        <w:pStyle w:val="TOC1"/>
        <w:rPr>
          <w:kern w:val="2"/>
          <w:lang w:eastAsia="en-US"/>
          <w14:ligatures w14:val="standardContextual"/>
        </w:rPr>
      </w:pPr>
      <w:r>
        <w:t>2024-CRF-010 / SRP / Capability Testing Off-Season</w:t>
      </w:r>
      <w:r>
        <w:tab/>
      </w:r>
      <w:r>
        <w:fldChar w:fldCharType="begin"/>
      </w:r>
      <w:r>
        <w:instrText xml:space="preserve"> PAGEREF _Toc189840324 \h </w:instrText>
      </w:r>
      <w:r>
        <w:fldChar w:fldCharType="separate"/>
      </w:r>
      <w:r w:rsidR="007A21C2">
        <w:t>28</w:t>
      </w:r>
      <w:r>
        <w:fldChar w:fldCharType="end"/>
      </w:r>
    </w:p>
    <w:p w14:paraId="5EB8EA77" w14:textId="103E5B3E" w:rsidR="00D9119D" w:rsidRDefault="00D9119D" w:rsidP="00883BCD">
      <w:pPr>
        <w:pStyle w:val="TOC1"/>
        <w:rPr>
          <w:kern w:val="2"/>
          <w:lang w:eastAsia="en-US"/>
          <w14:ligatures w14:val="standardContextual"/>
        </w:rPr>
      </w:pPr>
      <w:r>
        <w:t>2024-CRF-011 / SRP / Load Growth Factor</w:t>
      </w:r>
      <w:r>
        <w:tab/>
      </w:r>
      <w:r>
        <w:fldChar w:fldCharType="begin"/>
      </w:r>
      <w:r>
        <w:instrText xml:space="preserve"> PAGEREF _Toc189840325 \h </w:instrText>
      </w:r>
      <w:r>
        <w:fldChar w:fldCharType="separate"/>
      </w:r>
      <w:r w:rsidR="007A21C2">
        <w:t>29</w:t>
      </w:r>
      <w:r>
        <w:fldChar w:fldCharType="end"/>
      </w:r>
    </w:p>
    <w:p w14:paraId="7707B7A9" w14:textId="66A5D65E" w:rsidR="00D9119D" w:rsidRDefault="00D9119D" w:rsidP="00883BCD">
      <w:pPr>
        <w:pStyle w:val="TOC1"/>
        <w:rPr>
          <w:kern w:val="2"/>
          <w:lang w:eastAsia="en-US"/>
          <w14:ligatures w14:val="standardContextual"/>
        </w:rPr>
      </w:pPr>
      <w:r>
        <w:t>2024-CRF-012 / APS / ELCC by Vintage</w:t>
      </w:r>
      <w:r>
        <w:tab/>
      </w:r>
      <w:r>
        <w:fldChar w:fldCharType="begin"/>
      </w:r>
      <w:r>
        <w:instrText xml:space="preserve"> PAGEREF _Toc189840326 \h </w:instrText>
      </w:r>
      <w:r>
        <w:fldChar w:fldCharType="separate"/>
      </w:r>
      <w:r w:rsidR="007A21C2">
        <w:t>30</w:t>
      </w:r>
      <w:r>
        <w:fldChar w:fldCharType="end"/>
      </w:r>
    </w:p>
    <w:p w14:paraId="7E1DC5D4" w14:textId="255DAC70" w:rsidR="00D9119D" w:rsidRDefault="00D9119D" w:rsidP="00883BCD">
      <w:pPr>
        <w:pStyle w:val="TOC1"/>
        <w:rPr>
          <w:kern w:val="2"/>
          <w:lang w:eastAsia="en-US"/>
          <w14:ligatures w14:val="standardContextual"/>
        </w:rPr>
      </w:pPr>
      <w:r>
        <w:t>2024-CRF-013 / IPC / Capability Testing Off-Season</w:t>
      </w:r>
      <w:r>
        <w:tab/>
      </w:r>
      <w:r>
        <w:fldChar w:fldCharType="begin"/>
      </w:r>
      <w:r>
        <w:instrText xml:space="preserve"> PAGEREF _Toc189840327 \h </w:instrText>
      </w:r>
      <w:r>
        <w:fldChar w:fldCharType="separate"/>
      </w:r>
      <w:r w:rsidR="007A21C2">
        <w:t>31</w:t>
      </w:r>
      <w:r>
        <w:fldChar w:fldCharType="end"/>
      </w:r>
    </w:p>
    <w:p w14:paraId="573B4489" w14:textId="28FE1D52" w:rsidR="00D9119D" w:rsidRDefault="00D9119D" w:rsidP="00883BCD">
      <w:pPr>
        <w:pStyle w:val="TOC1"/>
        <w:rPr>
          <w:kern w:val="2"/>
          <w:lang w:eastAsia="en-US"/>
          <w14:ligatures w14:val="standardContextual"/>
        </w:rPr>
      </w:pPr>
      <w:r>
        <w:t>2024-CRF-014 / IPC / Joint-Owner Flexibility</w:t>
      </w:r>
      <w:r>
        <w:tab/>
      </w:r>
      <w:r>
        <w:fldChar w:fldCharType="begin"/>
      </w:r>
      <w:r>
        <w:instrText xml:space="preserve"> PAGEREF _Toc189840328 \h </w:instrText>
      </w:r>
      <w:r>
        <w:fldChar w:fldCharType="separate"/>
      </w:r>
      <w:r w:rsidR="007A21C2">
        <w:t>33</w:t>
      </w:r>
      <w:r>
        <w:fldChar w:fldCharType="end"/>
      </w:r>
    </w:p>
    <w:p w14:paraId="17C1129D" w14:textId="1A2D47C5" w:rsidR="00D9119D" w:rsidRDefault="00D9119D" w:rsidP="00883BCD">
      <w:pPr>
        <w:pStyle w:val="TOC1"/>
        <w:rPr>
          <w:kern w:val="2"/>
          <w:lang w:eastAsia="en-US"/>
          <w14:ligatures w14:val="standardContextual"/>
        </w:rPr>
      </w:pPr>
      <w:r>
        <w:t>2024-CRF-015 / PNM / Planned Outage Clarification</w:t>
      </w:r>
      <w:r>
        <w:tab/>
      </w:r>
      <w:r>
        <w:fldChar w:fldCharType="begin"/>
      </w:r>
      <w:r>
        <w:instrText xml:space="preserve"> PAGEREF _Toc189840329 \h </w:instrText>
      </w:r>
      <w:r>
        <w:fldChar w:fldCharType="separate"/>
      </w:r>
      <w:r w:rsidR="007A21C2">
        <w:t>34</w:t>
      </w:r>
      <w:r>
        <w:fldChar w:fldCharType="end"/>
      </w:r>
    </w:p>
    <w:p w14:paraId="64F3D884" w14:textId="334E5A99" w:rsidR="00D9119D" w:rsidRDefault="00D9119D" w:rsidP="00883BCD">
      <w:pPr>
        <w:pStyle w:val="TOC1"/>
        <w:rPr>
          <w:kern w:val="2"/>
          <w:lang w:eastAsia="en-US"/>
          <w14:ligatures w14:val="standardContextual"/>
        </w:rPr>
      </w:pPr>
      <w:r>
        <w:t>2024-CRF-017 / IPC / Monthly PRM Volatility</w:t>
      </w:r>
      <w:r>
        <w:tab/>
      </w:r>
      <w:r>
        <w:fldChar w:fldCharType="begin"/>
      </w:r>
      <w:r>
        <w:instrText xml:space="preserve"> PAGEREF _Toc189840330 \h </w:instrText>
      </w:r>
      <w:r>
        <w:fldChar w:fldCharType="separate"/>
      </w:r>
      <w:r w:rsidR="007A21C2">
        <w:t>39</w:t>
      </w:r>
      <w:r>
        <w:fldChar w:fldCharType="end"/>
      </w:r>
    </w:p>
    <w:p w14:paraId="79C624BA" w14:textId="0C834295" w:rsidR="00D9119D" w:rsidRDefault="00D9119D" w:rsidP="00883BCD">
      <w:pPr>
        <w:pStyle w:val="TOC1"/>
        <w:rPr>
          <w:kern w:val="2"/>
          <w:lang w:eastAsia="en-US"/>
          <w14:ligatures w14:val="standardContextual"/>
        </w:rPr>
      </w:pPr>
      <w:r>
        <w:t>2024-CRF-018 / BPA / PRM out of FS Transmission Requirement</w:t>
      </w:r>
      <w:r>
        <w:tab/>
      </w:r>
      <w:r>
        <w:fldChar w:fldCharType="begin"/>
      </w:r>
      <w:r>
        <w:instrText xml:space="preserve"> PAGEREF _Toc189840331 \h </w:instrText>
      </w:r>
      <w:r>
        <w:fldChar w:fldCharType="separate"/>
      </w:r>
      <w:r w:rsidR="007A21C2">
        <w:t>40</w:t>
      </w:r>
      <w:r>
        <w:fldChar w:fldCharType="end"/>
      </w:r>
    </w:p>
    <w:p w14:paraId="417BFF89" w14:textId="25A746D7" w:rsidR="00D9119D" w:rsidRDefault="00D9119D" w:rsidP="00883BCD">
      <w:pPr>
        <w:pStyle w:val="TOC1"/>
        <w:rPr>
          <w:kern w:val="2"/>
          <w:lang w:eastAsia="en-US"/>
          <w14:ligatures w14:val="standardContextual"/>
        </w:rPr>
      </w:pPr>
      <w:r>
        <w:t>2024-CRF-019 / IPC / Resource Aggregation</w:t>
      </w:r>
      <w:r>
        <w:tab/>
      </w:r>
      <w:r>
        <w:fldChar w:fldCharType="begin"/>
      </w:r>
      <w:r>
        <w:instrText xml:space="preserve"> PAGEREF _Toc189840332 \h </w:instrText>
      </w:r>
      <w:r>
        <w:fldChar w:fldCharType="separate"/>
      </w:r>
      <w:r w:rsidR="007A21C2">
        <w:t>41</w:t>
      </w:r>
      <w:r>
        <w:fldChar w:fldCharType="end"/>
      </w:r>
    </w:p>
    <w:p w14:paraId="4D07104C" w14:textId="71F81128" w:rsidR="00D9119D" w:rsidRDefault="00D9119D" w:rsidP="00883BCD">
      <w:pPr>
        <w:pStyle w:val="TOC1"/>
        <w:rPr>
          <w:kern w:val="2"/>
          <w:lang w:eastAsia="en-US"/>
          <w14:ligatures w14:val="standardContextual"/>
        </w:rPr>
      </w:pPr>
      <w:r>
        <w:t>2024-CRF-020 / BPA / Forward Showing Waiver</w:t>
      </w:r>
      <w:r>
        <w:tab/>
      </w:r>
      <w:r>
        <w:fldChar w:fldCharType="begin"/>
      </w:r>
      <w:r>
        <w:instrText xml:space="preserve"> PAGEREF _Toc189840333 \h </w:instrText>
      </w:r>
      <w:r>
        <w:fldChar w:fldCharType="separate"/>
      </w:r>
      <w:r w:rsidR="007A21C2">
        <w:t>43</w:t>
      </w:r>
      <w:r>
        <w:fldChar w:fldCharType="end"/>
      </w:r>
    </w:p>
    <w:p w14:paraId="2309122C" w14:textId="0EA044E1" w:rsidR="00D9119D" w:rsidRDefault="00D9119D" w:rsidP="00883BCD">
      <w:pPr>
        <w:pStyle w:val="TOC1"/>
        <w:rPr>
          <w:kern w:val="2"/>
          <w:lang w:eastAsia="en-US"/>
          <w14:ligatures w14:val="standardContextual"/>
        </w:rPr>
      </w:pPr>
      <w:r>
        <w:t>2024-CRF-021 / BPA / Delivery Failure Charge Cap</w:t>
      </w:r>
      <w:r>
        <w:tab/>
      </w:r>
      <w:r>
        <w:fldChar w:fldCharType="begin"/>
      </w:r>
      <w:r>
        <w:instrText xml:space="preserve"> PAGEREF _Toc189840334 \h </w:instrText>
      </w:r>
      <w:r>
        <w:fldChar w:fldCharType="separate"/>
      </w:r>
      <w:r w:rsidR="007A21C2">
        <w:t>45</w:t>
      </w:r>
      <w:r>
        <w:fldChar w:fldCharType="end"/>
      </w:r>
    </w:p>
    <w:p w14:paraId="2E0ADE4E" w14:textId="6A55E1B5" w:rsidR="00D9119D" w:rsidRDefault="00D9119D" w:rsidP="00883BCD">
      <w:pPr>
        <w:pStyle w:val="TOC1"/>
        <w:rPr>
          <w:kern w:val="2"/>
          <w:lang w:eastAsia="en-US"/>
          <w14:ligatures w14:val="standardContextual"/>
        </w:rPr>
      </w:pPr>
      <w:r>
        <w:t>2024-CRF-024 / PAC / Flat Load and PRMs</w:t>
      </w:r>
      <w:r>
        <w:tab/>
      </w:r>
      <w:r>
        <w:fldChar w:fldCharType="begin"/>
      </w:r>
      <w:r>
        <w:instrText xml:space="preserve"> PAGEREF _Toc189840335 \h </w:instrText>
      </w:r>
      <w:r>
        <w:fldChar w:fldCharType="separate"/>
      </w:r>
      <w:r w:rsidR="007A21C2">
        <w:t>47</w:t>
      </w:r>
      <w:r>
        <w:fldChar w:fldCharType="end"/>
      </w:r>
    </w:p>
    <w:p w14:paraId="71FF1247" w14:textId="306DDA3D" w:rsidR="00D9119D" w:rsidRDefault="00D9119D" w:rsidP="00883BCD">
      <w:pPr>
        <w:pStyle w:val="TOC1"/>
        <w:rPr>
          <w:kern w:val="2"/>
          <w:lang w:eastAsia="en-US"/>
          <w14:ligatures w14:val="standardContextual"/>
        </w:rPr>
      </w:pPr>
      <w:r>
        <w:t>2024-CRF-025 / IPC / Qualifying Contract Options and Review</w:t>
      </w:r>
      <w:r>
        <w:tab/>
      </w:r>
      <w:r>
        <w:fldChar w:fldCharType="begin"/>
      </w:r>
      <w:r>
        <w:instrText xml:space="preserve"> PAGEREF _Toc189840336 \h </w:instrText>
      </w:r>
      <w:r>
        <w:fldChar w:fldCharType="separate"/>
      </w:r>
      <w:r w:rsidR="007A21C2">
        <w:t>49</w:t>
      </w:r>
      <w:r>
        <w:fldChar w:fldCharType="end"/>
      </w:r>
    </w:p>
    <w:p w14:paraId="616D139E" w14:textId="79B15B89" w:rsidR="00D9119D" w:rsidRDefault="00D9119D" w:rsidP="00883BCD">
      <w:pPr>
        <w:pStyle w:val="TOC1"/>
        <w:rPr>
          <w:kern w:val="2"/>
          <w:lang w:eastAsia="en-US"/>
          <w14:ligatures w14:val="standardContextual"/>
        </w:rPr>
      </w:pPr>
      <w:r>
        <w:t>2024-CRF-026 / Form Energy / Indicative QCCs</w:t>
      </w:r>
      <w:r>
        <w:tab/>
      </w:r>
      <w:r>
        <w:fldChar w:fldCharType="begin"/>
      </w:r>
      <w:r>
        <w:instrText xml:space="preserve"> PAGEREF _Toc189840337 \h </w:instrText>
      </w:r>
      <w:r>
        <w:fldChar w:fldCharType="separate"/>
      </w:r>
      <w:r w:rsidR="007A21C2">
        <w:t>50</w:t>
      </w:r>
      <w:r>
        <w:fldChar w:fldCharType="end"/>
      </w:r>
    </w:p>
    <w:p w14:paraId="30968EE8" w14:textId="4ED18EA9" w:rsidR="00D9119D" w:rsidRDefault="00D9119D" w:rsidP="00883BCD">
      <w:pPr>
        <w:pStyle w:val="TOC1"/>
        <w:rPr>
          <w:kern w:val="2"/>
          <w:lang w:eastAsia="en-US"/>
          <w14:ligatures w14:val="standardContextual"/>
        </w:rPr>
      </w:pPr>
      <w:r>
        <w:t>2024-CRF-027 / BPA / Load Responsibility Transfer</w:t>
      </w:r>
      <w:r>
        <w:tab/>
      </w:r>
      <w:r>
        <w:fldChar w:fldCharType="begin"/>
      </w:r>
      <w:r>
        <w:instrText xml:space="preserve"> PAGEREF _Toc189840338 \h </w:instrText>
      </w:r>
      <w:r>
        <w:fldChar w:fldCharType="separate"/>
      </w:r>
      <w:r w:rsidR="007A21C2">
        <w:t>52</w:t>
      </w:r>
      <w:r>
        <w:fldChar w:fldCharType="end"/>
      </w:r>
    </w:p>
    <w:p w14:paraId="1AF53373" w14:textId="2DD83CC5" w:rsidR="00D9119D" w:rsidRDefault="00D9119D" w:rsidP="00883BCD">
      <w:pPr>
        <w:pStyle w:val="TOC1"/>
        <w:rPr>
          <w:kern w:val="2"/>
          <w:lang w:eastAsia="en-US"/>
          <w14:ligatures w14:val="standardContextual"/>
        </w:rPr>
      </w:pPr>
      <w:r>
        <w:t>2024-CRF-031 / EWEB / Bilateral Contracts</w:t>
      </w:r>
      <w:r>
        <w:tab/>
      </w:r>
      <w:r>
        <w:fldChar w:fldCharType="begin"/>
      </w:r>
      <w:r>
        <w:instrText xml:space="preserve"> PAGEREF _Toc189840339 \h </w:instrText>
      </w:r>
      <w:r>
        <w:fldChar w:fldCharType="separate"/>
      </w:r>
      <w:r w:rsidR="007A21C2">
        <w:t>54</w:t>
      </w:r>
      <w:r>
        <w:fldChar w:fldCharType="end"/>
      </w:r>
    </w:p>
    <w:p w14:paraId="4BC37C19" w14:textId="2A496AFB" w:rsidR="00D9119D" w:rsidRDefault="00D9119D" w:rsidP="00883BCD">
      <w:pPr>
        <w:pStyle w:val="TOC1"/>
        <w:rPr>
          <w:kern w:val="2"/>
          <w:lang w:eastAsia="en-US"/>
          <w14:ligatures w14:val="standardContextual"/>
        </w:rPr>
      </w:pPr>
      <w:r>
        <w:t>Appendix A</w:t>
      </w:r>
      <w:r>
        <w:tab/>
      </w:r>
      <w:r>
        <w:fldChar w:fldCharType="begin"/>
      </w:r>
      <w:r>
        <w:instrText xml:space="preserve"> PAGEREF _Toc189840340 \h </w:instrText>
      </w:r>
      <w:r>
        <w:fldChar w:fldCharType="separate"/>
      </w:r>
      <w:r w:rsidR="007A21C2">
        <w:t>55</w:t>
      </w:r>
      <w:r>
        <w:fldChar w:fldCharType="end"/>
      </w:r>
    </w:p>
    <w:p w14:paraId="21E66396" w14:textId="257CA333" w:rsidR="00B72ADE" w:rsidRPr="009A230E" w:rsidRDefault="009A230E">
      <w:pPr>
        <w:rPr>
          <w:rFonts w:asciiTheme="majorHAnsi" w:hAnsiTheme="majorHAnsi"/>
          <w:color w:val="215E99" w:themeColor="text2" w:themeTint="BF"/>
          <w:sz w:val="40"/>
          <w:szCs w:val="40"/>
        </w:rPr>
      </w:pPr>
      <w:r>
        <w:rPr>
          <w:rFonts w:asciiTheme="majorHAnsi" w:hAnsiTheme="majorHAnsi"/>
          <w:color w:val="215E99" w:themeColor="text2" w:themeTint="BF"/>
          <w:sz w:val="40"/>
          <w:szCs w:val="40"/>
        </w:rPr>
        <w:fldChar w:fldCharType="end"/>
      </w:r>
      <w:r w:rsidR="00875810">
        <w:rPr>
          <w:rFonts w:asciiTheme="majorHAnsi" w:hAnsiTheme="majorHAnsi"/>
          <w:color w:val="215E99" w:themeColor="text2" w:themeTint="BF"/>
          <w:sz w:val="40"/>
          <w:szCs w:val="40"/>
        </w:rPr>
        <w:br w:type="page"/>
      </w:r>
    </w:p>
    <w:p w14:paraId="5C3DF187" w14:textId="148D5CF9" w:rsidR="00FC71FD" w:rsidRDefault="00B72ADE" w:rsidP="00B72ADE">
      <w:pPr>
        <w:pStyle w:val="Heading1"/>
      </w:pPr>
      <w:bookmarkStart w:id="28" w:name="_Toc189746891"/>
      <w:bookmarkStart w:id="29" w:name="_Toc189840317"/>
      <w:bookmarkStart w:id="30" w:name="TOC2CRFCompilation"/>
      <w:r>
        <w:lastRenderedPageBreak/>
        <w:t>Introduction</w:t>
      </w:r>
      <w:bookmarkEnd w:id="28"/>
      <w:bookmarkEnd w:id="29"/>
    </w:p>
    <w:p w14:paraId="627EB10B" w14:textId="5163266E" w:rsidR="00470B82" w:rsidRDefault="00C83C0E">
      <w:r w:rsidRPr="00EA0D6D">
        <w:t xml:space="preserve">The Western Power Pool (WPP) Western Resource Adequacy Program (WRAP) Program Review Committee (PRC) is a multi-sector representative group charged with receiving, considering, and proposing design changes to the WRAP Tariff (“Tariff”) and Business Practice Manuals (BPMs). The PRC </w:t>
      </w:r>
      <w:r w:rsidR="00675E5A">
        <w:t>is</w:t>
      </w:r>
      <w:r w:rsidRPr="00EA0D6D">
        <w:t xml:space="preserve"> the clearing house for recommended design changes to the WRAP. These recommended changes could come from </w:t>
      </w:r>
      <w:r w:rsidR="00675E5A">
        <w:t xml:space="preserve">WRAP </w:t>
      </w:r>
      <w:r w:rsidRPr="00EA0D6D">
        <w:t xml:space="preserve">Participants, the Committee of State Representatives (COSR), the Board of Directors (BOD), other committees, stakeholders, </w:t>
      </w:r>
      <w:proofErr w:type="gramStart"/>
      <w:r w:rsidRPr="00EA0D6D">
        <w:t>or</w:t>
      </w:r>
      <w:proofErr w:type="gramEnd"/>
      <w:r w:rsidRPr="00EA0D6D">
        <w:t xml:space="preserve"> the public. </w:t>
      </w:r>
    </w:p>
    <w:p w14:paraId="10F6470E" w14:textId="04459A4F" w:rsidR="007C06DD" w:rsidRDefault="00470B82" w:rsidP="007C06DD">
      <w:r w:rsidRPr="00EA0D6D">
        <w:t xml:space="preserve">When a Concept (a suggested change to the Tariff and/or BPMs) is requested by a stakeholder, the processes and criteria for review by the PRC </w:t>
      </w:r>
      <w:r>
        <w:t>are</w:t>
      </w:r>
      <w:r w:rsidRPr="00EA0D6D">
        <w:t xml:space="preserve"> utilized as established in </w:t>
      </w:r>
      <w:r w:rsidRPr="00EA0D6D">
        <w:rPr>
          <w:i/>
          <w:iCs/>
        </w:rPr>
        <w:t>BPM 301 PRC Workplan Development and Approval</w:t>
      </w:r>
      <w:r w:rsidRPr="00EA0D6D">
        <w:t xml:space="preserve"> and </w:t>
      </w:r>
      <w:r w:rsidRPr="00EA0D6D">
        <w:rPr>
          <w:i/>
          <w:iCs/>
        </w:rPr>
        <w:t>BPM 302 Proposal Development and Consideration</w:t>
      </w:r>
      <w:r w:rsidRPr="00EA0D6D">
        <w:t xml:space="preserve">. </w:t>
      </w:r>
      <w:r w:rsidR="007C06DD" w:rsidRPr="00EA0D6D">
        <w:t xml:space="preserve">Change Request Forms (CRFs) describing a Concept </w:t>
      </w:r>
      <w:r w:rsidR="007C06DD">
        <w:t>are</w:t>
      </w:r>
      <w:r w:rsidR="007C06DD" w:rsidRPr="00EA0D6D">
        <w:t xml:space="preserve"> submitted at any point during a year. The final day for stakeholders to submit </w:t>
      </w:r>
      <w:r w:rsidR="00153CBA">
        <w:t>complete</w:t>
      </w:r>
      <w:r w:rsidR="00EE4D2E">
        <w:t xml:space="preserve"> CRFs for this cycle was</w:t>
      </w:r>
      <w:r w:rsidR="007C06DD" w:rsidRPr="00EA0D6D">
        <w:t xml:space="preserve"> December 31</w:t>
      </w:r>
      <w:r w:rsidR="007C06DD" w:rsidRPr="00EA0D6D">
        <w:rPr>
          <w:vertAlign w:val="superscript"/>
        </w:rPr>
        <w:t>st</w:t>
      </w:r>
      <w:r w:rsidR="00EE4D2E">
        <w:t>, 2024.</w:t>
      </w:r>
      <w:r w:rsidR="007C06DD" w:rsidRPr="00EA0D6D">
        <w:t xml:space="preserve"> </w:t>
      </w:r>
      <w:r w:rsidR="00BE6DBD">
        <w:t xml:space="preserve">WPP as Program Administrator </w:t>
      </w:r>
      <w:r w:rsidR="00E3391B">
        <w:t xml:space="preserve">has </w:t>
      </w:r>
      <w:r w:rsidR="00ED2AD3">
        <w:t>compile</w:t>
      </w:r>
      <w:r w:rsidR="00E3391B">
        <w:t>d</w:t>
      </w:r>
      <w:r w:rsidR="00ED2AD3">
        <w:t xml:space="preserve"> all completed CRFs </w:t>
      </w:r>
      <w:r w:rsidR="00E3391B">
        <w:t xml:space="preserve">submitted </w:t>
      </w:r>
      <w:r w:rsidR="00F11E7B">
        <w:t>in 2024</w:t>
      </w:r>
      <w:r w:rsidR="00E3391B">
        <w:t xml:space="preserve"> </w:t>
      </w:r>
      <w:r w:rsidR="00747531">
        <w:t>in this document</w:t>
      </w:r>
      <w:r w:rsidR="00CE4A7F">
        <w:t xml:space="preserve"> to facilitate the PRC’s development of a Workplan </w:t>
      </w:r>
      <w:r w:rsidR="00F11E7B">
        <w:t>(</w:t>
      </w:r>
      <w:r w:rsidR="00F11E7B" w:rsidRPr="00EA0D6D">
        <w:t xml:space="preserve">a plan of action that identifies Concepts for development into Proposals) for </w:t>
      </w:r>
      <w:r w:rsidR="00F11E7B">
        <w:t>2025.</w:t>
      </w:r>
      <w:r w:rsidR="00113397">
        <w:t xml:space="preserve"> </w:t>
      </w:r>
      <w:r w:rsidR="009C5B79">
        <w:t>The</w:t>
      </w:r>
      <w:r w:rsidR="009C5B79" w:rsidRPr="00EA0D6D">
        <w:t xml:space="preserve"> PRC will prioritize Concepts by February 1</w:t>
      </w:r>
      <w:r w:rsidR="009C5B79" w:rsidRPr="009C5B79">
        <w:rPr>
          <w:vertAlign w:val="superscript"/>
        </w:rPr>
        <w:t>st</w:t>
      </w:r>
      <w:r w:rsidR="009C5B79">
        <w:t>, 2025,</w:t>
      </w:r>
      <w:r w:rsidR="009C5B79" w:rsidRPr="00EA0D6D">
        <w:t xml:space="preserve"> using a PRC-determined method involving established criteria</w:t>
      </w:r>
      <w:r w:rsidR="009C5B79">
        <w:t>.</w:t>
      </w:r>
      <w:r w:rsidR="009C5B79" w:rsidRPr="00EA0D6D">
        <w:t xml:space="preserve"> </w:t>
      </w:r>
      <w:r w:rsidR="00113397" w:rsidRPr="00EA0D6D">
        <w:t>The completed Workplan</w:t>
      </w:r>
      <w:r w:rsidR="00EC4147">
        <w:t xml:space="preserve"> approved by the BOD in June</w:t>
      </w:r>
      <w:r w:rsidR="009C5B79">
        <w:t xml:space="preserve"> will</w:t>
      </w:r>
      <w:r w:rsidR="00113397" w:rsidRPr="00EA0D6D">
        <w:t xml:space="preserve"> identif</w:t>
      </w:r>
      <w:r w:rsidR="009C5B79">
        <w:t>y</w:t>
      </w:r>
      <w:r w:rsidR="00113397" w:rsidRPr="00EA0D6D">
        <w:t xml:space="preserve"> Concepts </w:t>
      </w:r>
      <w:r w:rsidR="009C5B79">
        <w:t>to</w:t>
      </w:r>
      <w:r w:rsidR="00113397" w:rsidRPr="00EA0D6D">
        <w:t xml:space="preserve"> be developed</w:t>
      </w:r>
      <w:r w:rsidR="005720F1">
        <w:t xml:space="preserve"> </w:t>
      </w:r>
      <w:r w:rsidR="005720F1" w:rsidRPr="00EA0D6D">
        <w:t>into full Proposals by Task Forces</w:t>
      </w:r>
      <w:r w:rsidR="00EC4147">
        <w:t>. These Proposals will then be</w:t>
      </w:r>
      <w:r w:rsidR="005720F1" w:rsidRPr="00EA0D6D">
        <w:t xml:space="preserve"> distributed for comment</w:t>
      </w:r>
      <w:r w:rsidR="003B0156">
        <w:t>.</w:t>
      </w:r>
    </w:p>
    <w:p w14:paraId="32A05CC2" w14:textId="0ACABE8C" w:rsidR="003B0156" w:rsidRPr="00EA0D6D" w:rsidRDefault="00E5029C" w:rsidP="007C06DD">
      <w:r>
        <w:t xml:space="preserve">Blue text </w:t>
      </w:r>
      <w:r w:rsidR="00776219">
        <w:t xml:space="preserve">in the CRF </w:t>
      </w:r>
      <w:r>
        <w:t>indicate</w:t>
      </w:r>
      <w:r w:rsidR="00776219">
        <w:t>s</w:t>
      </w:r>
      <w:r>
        <w:t xml:space="preserve"> language added by the Program </w:t>
      </w:r>
      <w:r w:rsidR="009C5B79">
        <w:t>Administrator</w:t>
      </w:r>
      <w:r w:rsidR="00776219">
        <w:t xml:space="preserve"> to identify the Concept and facilitate the PRC’s </w:t>
      </w:r>
      <w:r w:rsidR="00273FFC">
        <w:t>prioritization exercise.</w:t>
      </w:r>
      <w:r>
        <w:t xml:space="preserve"> </w:t>
      </w:r>
      <w:r w:rsidR="003B0156">
        <w:t>At the top of each CRF is its number</w:t>
      </w:r>
      <w:r w:rsidR="008F7C1D">
        <w:t xml:space="preserve"> and</w:t>
      </w:r>
      <w:r w:rsidR="006E1326">
        <w:t xml:space="preserve"> sponsoring organization</w:t>
      </w:r>
      <w:r w:rsidR="008F7C1D">
        <w:t xml:space="preserve"> followed by</w:t>
      </w:r>
      <w:r w:rsidR="006E1326">
        <w:t xml:space="preserve"> a </w:t>
      </w:r>
      <w:proofErr w:type="gramStart"/>
      <w:r w:rsidR="006E1326">
        <w:t>keywords</w:t>
      </w:r>
      <w:proofErr w:type="gramEnd"/>
      <w:r w:rsidR="006E1326">
        <w:t xml:space="preserve"> i</w:t>
      </w:r>
      <w:r w:rsidR="008F7C1D">
        <w:t xml:space="preserve">dentifier. Below that </w:t>
      </w:r>
      <w:r w:rsidR="00CB6626">
        <w:t>is the WRAP Area the Concept would impact primarily (</w:t>
      </w:r>
      <w:r w:rsidR="008B4F36">
        <w:t xml:space="preserve">Forward Showing </w:t>
      </w:r>
      <w:r w:rsidR="00621C4B">
        <w:t xml:space="preserve">[FS] </w:t>
      </w:r>
      <w:r w:rsidR="008B4F36">
        <w:t xml:space="preserve">Capacity Requirement, Resource Accreditation, </w:t>
      </w:r>
      <w:r w:rsidR="00621C4B">
        <w:t xml:space="preserve">FS Transmission Requirement, </w:t>
      </w:r>
      <w:r w:rsidR="007A3FCA">
        <w:t>FS Demonstration, or Operations Program)</w:t>
      </w:r>
      <w:r w:rsidR="00BD25B6">
        <w:t xml:space="preserve">, an indication of whether a Tariff change would likely be necessary, and </w:t>
      </w:r>
      <w:r w:rsidR="0060211F">
        <w:t xml:space="preserve">a </w:t>
      </w:r>
      <w:r w:rsidR="00BD25B6">
        <w:t xml:space="preserve">Time Score reflecting the Program Administrator’s estimate </w:t>
      </w:r>
      <w:r w:rsidR="0060211F">
        <w:t>of</w:t>
      </w:r>
      <w:r w:rsidR="00BD25B6">
        <w:t xml:space="preserve"> how long it would take a Task Force to develop </w:t>
      </w:r>
      <w:r w:rsidR="009038DB">
        <w:t>the Concept into a Proposal ready for comment.</w:t>
      </w:r>
      <w:r w:rsidR="005C53EF">
        <w:t xml:space="preserve"> The remainder </w:t>
      </w:r>
      <w:r w:rsidR="0060211F">
        <w:t xml:space="preserve">of each table </w:t>
      </w:r>
      <w:r w:rsidR="005C53EF">
        <w:t>is the CRF as submitted by the Lead Sponsor, except for where relevant Tariff or BPM language has been added in blue.</w:t>
      </w:r>
    </w:p>
    <w:p w14:paraId="315AE710" w14:textId="53108F2B" w:rsidR="00470B82" w:rsidRPr="00EA0D6D" w:rsidRDefault="00470B82" w:rsidP="00470B82"/>
    <w:p w14:paraId="42988C61" w14:textId="33A1D53F" w:rsidR="00382BA7" w:rsidRDefault="00382BA7">
      <w:r>
        <w:br w:type="page"/>
      </w:r>
    </w:p>
    <w:p w14:paraId="5FD3609E" w14:textId="77777777" w:rsidR="00C729D3" w:rsidRDefault="00C729D3"/>
    <w:tbl>
      <w:tblPr>
        <w:tblStyle w:val="TableGrid"/>
        <w:tblW w:w="0" w:type="auto"/>
        <w:tblLook w:val="04A0" w:firstRow="1" w:lastRow="0" w:firstColumn="1" w:lastColumn="0" w:noHBand="0" w:noVBand="1"/>
      </w:tblPr>
      <w:tblGrid>
        <w:gridCol w:w="3116"/>
        <w:gridCol w:w="1559"/>
        <w:gridCol w:w="1558"/>
        <w:gridCol w:w="3117"/>
      </w:tblGrid>
      <w:tr w:rsidR="00C729D3" w14:paraId="09DE861D" w14:textId="77777777" w:rsidTr="00C729D3">
        <w:tc>
          <w:tcPr>
            <w:tcW w:w="9350" w:type="dxa"/>
            <w:gridSpan w:val="4"/>
          </w:tcPr>
          <w:p w14:paraId="3E883177" w14:textId="3661754C" w:rsidR="00C729D3" w:rsidRDefault="00C729D3" w:rsidP="00C729D3">
            <w:pPr>
              <w:pStyle w:val="Heading1"/>
            </w:pPr>
            <w:bookmarkStart w:id="31" w:name="_Toc189746892"/>
            <w:bookmarkStart w:id="32" w:name="_Toc189840318"/>
            <w:r>
              <w:t>2024-CRF-001 / NVE / SWEDE Transmission Limits</w:t>
            </w:r>
            <w:bookmarkEnd w:id="31"/>
            <w:bookmarkEnd w:id="32"/>
          </w:p>
        </w:tc>
      </w:tr>
      <w:tr w:rsidR="00897878" w14:paraId="27A2C87F" w14:textId="77777777" w:rsidTr="003E4C24">
        <w:tc>
          <w:tcPr>
            <w:tcW w:w="3116" w:type="dxa"/>
          </w:tcPr>
          <w:p w14:paraId="2F3F943D" w14:textId="77777777" w:rsidR="00FD78B3" w:rsidRPr="00FD78B3" w:rsidRDefault="00897878" w:rsidP="00A309D4">
            <w:pPr>
              <w:rPr>
                <w:b/>
                <w:bCs/>
                <w:color w:val="153D63" w:themeColor="text2" w:themeTint="E6"/>
              </w:rPr>
            </w:pPr>
            <w:r w:rsidRPr="00FD78B3">
              <w:rPr>
                <w:b/>
                <w:bCs/>
                <w:color w:val="153D63" w:themeColor="text2" w:themeTint="E6"/>
              </w:rPr>
              <w:t>WRAP Area:</w:t>
            </w:r>
            <w:r w:rsidR="00FD78B3" w:rsidRPr="00FD78B3">
              <w:rPr>
                <w:b/>
                <w:bCs/>
                <w:color w:val="153D63" w:themeColor="text2" w:themeTint="E6"/>
              </w:rPr>
              <w:t xml:space="preserve"> </w:t>
            </w:r>
          </w:p>
          <w:p w14:paraId="4ED9D219" w14:textId="4A1553E0" w:rsidR="00897878" w:rsidRPr="00FD78B3" w:rsidRDefault="00FD78B3" w:rsidP="00A309D4">
            <w:pPr>
              <w:rPr>
                <w:color w:val="153D63" w:themeColor="text2" w:themeTint="E6"/>
              </w:rPr>
            </w:pPr>
            <w:r>
              <w:rPr>
                <w:color w:val="153D63" w:themeColor="text2" w:themeTint="E6"/>
              </w:rPr>
              <w:t>Operations Program</w:t>
            </w:r>
          </w:p>
        </w:tc>
        <w:tc>
          <w:tcPr>
            <w:tcW w:w="3117" w:type="dxa"/>
            <w:gridSpan w:val="2"/>
          </w:tcPr>
          <w:p w14:paraId="53100E54" w14:textId="6F376D67" w:rsidR="004E4785" w:rsidRDefault="00C1275B" w:rsidP="00A309D4">
            <w:pPr>
              <w:rPr>
                <w:color w:val="153D63" w:themeColor="text2" w:themeTint="E6"/>
              </w:rPr>
            </w:pPr>
            <w:r>
              <w:rPr>
                <w:b/>
                <w:bCs/>
                <w:color w:val="153D63" w:themeColor="text2" w:themeTint="E6"/>
              </w:rPr>
              <w:t>Tariff</w:t>
            </w:r>
            <w:r w:rsidR="00897878" w:rsidRPr="004E4785">
              <w:rPr>
                <w:b/>
                <w:bCs/>
                <w:color w:val="153D63" w:themeColor="text2" w:themeTint="E6"/>
              </w:rPr>
              <w:t xml:space="preserve"> Change</w:t>
            </w:r>
            <w:r w:rsidR="00897878" w:rsidRPr="00FD78B3">
              <w:rPr>
                <w:color w:val="153D63" w:themeColor="text2" w:themeTint="E6"/>
              </w:rPr>
              <w:t>:</w:t>
            </w:r>
            <w:r w:rsidR="00FD78B3">
              <w:rPr>
                <w:color w:val="153D63" w:themeColor="text2" w:themeTint="E6"/>
              </w:rPr>
              <w:t xml:space="preserve"> </w:t>
            </w:r>
          </w:p>
          <w:p w14:paraId="155DDDC1" w14:textId="6BF28CCA" w:rsidR="00897878" w:rsidRPr="00FD78B3" w:rsidRDefault="00FD78B3" w:rsidP="00A309D4">
            <w:pPr>
              <w:rPr>
                <w:color w:val="153D63" w:themeColor="text2" w:themeTint="E6"/>
              </w:rPr>
            </w:pPr>
            <w:r>
              <w:rPr>
                <w:color w:val="153D63" w:themeColor="text2" w:themeTint="E6"/>
              </w:rPr>
              <w:t>Yes</w:t>
            </w:r>
          </w:p>
        </w:tc>
        <w:tc>
          <w:tcPr>
            <w:tcW w:w="3117" w:type="dxa"/>
          </w:tcPr>
          <w:p w14:paraId="3E8A1B7D" w14:textId="77777777" w:rsidR="00897878" w:rsidRDefault="00FD78B3" w:rsidP="00A309D4">
            <w:pPr>
              <w:rPr>
                <w:b/>
                <w:bCs/>
                <w:color w:val="153D63" w:themeColor="text2" w:themeTint="E6"/>
              </w:rPr>
            </w:pPr>
            <w:r w:rsidRPr="004E4785">
              <w:rPr>
                <w:b/>
                <w:bCs/>
                <w:color w:val="153D63" w:themeColor="text2" w:themeTint="E6"/>
              </w:rPr>
              <w:t>Time Score:</w:t>
            </w:r>
          </w:p>
          <w:p w14:paraId="562A1635" w14:textId="12391E29" w:rsidR="004E4785" w:rsidRPr="004E4785" w:rsidRDefault="004E4785" w:rsidP="00A309D4">
            <w:pPr>
              <w:rPr>
                <w:color w:val="153D63" w:themeColor="text2" w:themeTint="E6"/>
              </w:rPr>
            </w:pPr>
            <w:r>
              <w:rPr>
                <w:color w:val="153D63" w:themeColor="text2" w:themeTint="E6"/>
              </w:rPr>
              <w:t>Medium</w:t>
            </w:r>
          </w:p>
        </w:tc>
      </w:tr>
      <w:tr w:rsidR="00016218" w14:paraId="7B66AE5A" w14:textId="77777777" w:rsidTr="003E4C24">
        <w:tc>
          <w:tcPr>
            <w:tcW w:w="4675" w:type="dxa"/>
            <w:gridSpan w:val="2"/>
          </w:tcPr>
          <w:p w14:paraId="0B9F9A6C" w14:textId="04F3E499" w:rsidR="00016218" w:rsidRDefault="00016218">
            <w:r w:rsidRPr="00016218">
              <w:rPr>
                <w:b/>
                <w:bCs/>
              </w:rPr>
              <w:t>Lead Sponsor</w:t>
            </w:r>
            <w:r>
              <w:t>: Lindsey Schlekeway</w:t>
            </w:r>
          </w:p>
          <w:p w14:paraId="26E9900B" w14:textId="3A6FABB6" w:rsidR="00016218" w:rsidRDefault="00016218">
            <w:r>
              <w:t>lindsey.</w:t>
            </w:r>
            <w:r w:rsidR="00B15BDD">
              <w:t>schlekeway@nvenergy.</w:t>
            </w:r>
            <w:r w:rsidR="00DC745D">
              <w:t>com</w:t>
            </w:r>
          </w:p>
        </w:tc>
        <w:tc>
          <w:tcPr>
            <w:tcW w:w="4675" w:type="dxa"/>
            <w:gridSpan w:val="2"/>
          </w:tcPr>
          <w:p w14:paraId="38CBBEE2" w14:textId="2E5D11F8" w:rsidR="00016218" w:rsidRPr="00651CDC" w:rsidRDefault="00651CDC">
            <w:r>
              <w:rPr>
                <w:b/>
                <w:bCs/>
              </w:rPr>
              <w:t xml:space="preserve">Co-Sponsor: </w:t>
            </w:r>
          </w:p>
        </w:tc>
      </w:tr>
      <w:tr w:rsidR="00252934" w14:paraId="3BB7668D" w14:textId="77777777" w:rsidTr="003E4C24">
        <w:tc>
          <w:tcPr>
            <w:tcW w:w="9350" w:type="dxa"/>
            <w:gridSpan w:val="4"/>
          </w:tcPr>
          <w:p w14:paraId="0F2FE6D6" w14:textId="5AB69BA0" w:rsidR="00252934" w:rsidRPr="00252934" w:rsidRDefault="00252934">
            <w:pPr>
              <w:rPr>
                <w:b/>
                <w:bCs/>
              </w:rPr>
            </w:pPr>
            <w:r w:rsidRPr="00252934">
              <w:rPr>
                <w:b/>
                <w:bCs/>
              </w:rPr>
              <w:t xml:space="preserve">Summary: </w:t>
            </w:r>
            <w:r w:rsidR="00C329E4" w:rsidRPr="00C329E4">
              <w:t>Change to the current SWEDE Transmission Requirement in Tariff Section 19.4</w:t>
            </w:r>
          </w:p>
        </w:tc>
      </w:tr>
      <w:tr w:rsidR="00A1769E" w14:paraId="50D6EC32" w14:textId="77777777" w:rsidTr="003E4C24">
        <w:tc>
          <w:tcPr>
            <w:tcW w:w="9350" w:type="dxa"/>
            <w:gridSpan w:val="4"/>
          </w:tcPr>
          <w:p w14:paraId="28409668" w14:textId="691B2A58" w:rsidR="00A1769E" w:rsidRPr="00A1769E" w:rsidRDefault="00A1769E">
            <w:r>
              <w:rPr>
                <w:b/>
                <w:bCs/>
              </w:rPr>
              <w:t xml:space="preserve">Description of the issue: </w:t>
            </w:r>
            <w:r w:rsidRPr="00A1769E">
              <w:t xml:space="preserve">The current transmission requirement in the tariff for the SWEDE region requires transmission to be demonstrated no less than the surplus or deficit calculation MW quantity.  This requirement may harm Southwest participants and should not be necessary </w:t>
            </w:r>
            <w:proofErr w:type="gramStart"/>
            <w:r w:rsidRPr="00A1769E">
              <w:t>in order for</w:t>
            </w:r>
            <w:proofErr w:type="gramEnd"/>
            <w:r w:rsidRPr="00A1769E">
              <w:t xml:space="preserve"> WRAP to succeed.</w:t>
            </w:r>
          </w:p>
        </w:tc>
      </w:tr>
      <w:tr w:rsidR="00A1769E" w14:paraId="634C587E" w14:textId="77777777" w:rsidTr="003E4C24">
        <w:tc>
          <w:tcPr>
            <w:tcW w:w="9350" w:type="dxa"/>
            <w:gridSpan w:val="4"/>
          </w:tcPr>
          <w:p w14:paraId="401E3E64" w14:textId="57374173" w:rsidR="00A1769E" w:rsidRPr="00AB7637" w:rsidRDefault="00AB7637">
            <w:r>
              <w:rPr>
                <w:b/>
                <w:bCs/>
              </w:rPr>
              <w:t xml:space="preserve">Proposed solution to the issue described: </w:t>
            </w:r>
            <w:r w:rsidRPr="00AB7637">
              <w:t xml:space="preserve">Remove existing tariff language and </w:t>
            </w:r>
            <w:proofErr w:type="gramStart"/>
            <w:r w:rsidRPr="00AB7637">
              <w:t>add in</w:t>
            </w:r>
            <w:proofErr w:type="gramEnd"/>
            <w:r w:rsidRPr="00AB7637">
              <w:t xml:space="preserve"> additional language to be consistent with the current understanding of the transmission requirement for clarity. </w:t>
            </w:r>
          </w:p>
        </w:tc>
      </w:tr>
      <w:tr w:rsidR="0021647E" w14:paraId="0F010A64" w14:textId="77777777" w:rsidTr="003E4C24">
        <w:tc>
          <w:tcPr>
            <w:tcW w:w="9350" w:type="dxa"/>
            <w:gridSpan w:val="4"/>
          </w:tcPr>
          <w:p w14:paraId="7011AD4C" w14:textId="77777777" w:rsidR="0021647E" w:rsidRDefault="003B349D">
            <w:pPr>
              <w:rPr>
                <w:b/>
                <w:bCs/>
              </w:rPr>
            </w:pPr>
            <w:r>
              <w:rPr>
                <w:b/>
                <w:bCs/>
              </w:rPr>
              <w:t>Specific document and language you would like changed:</w:t>
            </w:r>
          </w:p>
          <w:p w14:paraId="463233FB" w14:textId="7C175201" w:rsidR="003E595A" w:rsidRPr="003E595A" w:rsidRDefault="003E595A">
            <w:r w:rsidRPr="003E595A">
              <w:t>Current Tariff Language: 19.4     Each Participant in any Subregion identified in the Business Practice Manuals as not containing a central transmission hub permitting energy deliveries to that hub from any point within such Subregion, shall, in addition to providing the information required by Section 19.3, identify, on or before the deadline during the Preschedule Day specified in the Business Practice Manuals, for each Hour of the Operating Day each point to which it can deliver energy, each point at which it can take receipt of energy, the quantity it can deliver or receive at each such point, and a numeric factor intended to prioritize use of transmission made available by Participants with positive Sharing Calculations and needed by Participants with negative Sharing Calculations for each such hour. </w:t>
            </w:r>
            <w:r w:rsidRPr="003E595A">
              <w:rPr>
                <w:b/>
                <w:bCs/>
              </w:rPr>
              <w:t xml:space="preserve">A Participant with a positive Sharing Calculation for an hour must provide a total quantity for all identified points at which it can deliver that is no less than the amount of its positive Sharing Calculation for such </w:t>
            </w:r>
            <w:proofErr w:type="gramStart"/>
            <w:r w:rsidRPr="003E595A">
              <w:rPr>
                <w:b/>
                <w:bCs/>
              </w:rPr>
              <w:t>hour</w:t>
            </w:r>
            <w:proofErr w:type="gramEnd"/>
            <w:r w:rsidRPr="003E595A">
              <w:rPr>
                <w:b/>
                <w:bCs/>
              </w:rPr>
              <w:t xml:space="preserve"> (adjusted as necessary for any RA Transfer in accordance with Section 20.1.2). A Participant with a negative Sharing Calculation for an hour must provide a total quantity for all identified points at which it can take receipt that is no less than the amount of its negative Sharing Calculation for such hour (adjusted as necessary for any RA Transfer in accordance with Section 20.1.2).</w:t>
            </w:r>
            <w:r w:rsidRPr="003E595A">
              <w:t xml:space="preserve">  Participants shall provide this same information for each Operating Day on an expected or preliminary basis on each day of the Multi-Day-Ahead Assessment following, and based on, the expected Holdback Requirement estimates provided on </w:t>
            </w:r>
            <w:proofErr w:type="gramStart"/>
            <w:r w:rsidRPr="003E595A">
              <w:t>each such</w:t>
            </w:r>
            <w:proofErr w:type="gramEnd"/>
            <w:r w:rsidRPr="003E595A">
              <w:t xml:space="preserve"> day for the Operating Day.</w:t>
            </w:r>
          </w:p>
        </w:tc>
      </w:tr>
      <w:tr w:rsidR="004808E7" w14:paraId="0626D37A" w14:textId="77777777" w:rsidTr="003E4C24">
        <w:tc>
          <w:tcPr>
            <w:tcW w:w="9350" w:type="dxa"/>
            <w:gridSpan w:val="4"/>
          </w:tcPr>
          <w:p w14:paraId="2C0F372E" w14:textId="77777777" w:rsidR="004808E7" w:rsidRDefault="004808E7">
            <w:pPr>
              <w:rPr>
                <w:b/>
                <w:bCs/>
              </w:rPr>
            </w:pPr>
            <w:r>
              <w:rPr>
                <w:b/>
                <w:bCs/>
              </w:rPr>
              <w:t xml:space="preserve">Suggestion for how language could be updated to address </w:t>
            </w:r>
            <w:proofErr w:type="gramStart"/>
            <w:r>
              <w:rPr>
                <w:b/>
                <w:bCs/>
              </w:rPr>
              <w:t>issue</w:t>
            </w:r>
            <w:proofErr w:type="gramEnd"/>
            <w:r>
              <w:rPr>
                <w:b/>
                <w:bCs/>
              </w:rPr>
              <w:t>:</w:t>
            </w:r>
          </w:p>
          <w:p w14:paraId="099076B6" w14:textId="30057757" w:rsidR="004808E7" w:rsidRPr="004808E7" w:rsidRDefault="00027F81">
            <w:r w:rsidRPr="00027F81">
              <w:rPr>
                <w:b/>
                <w:bCs/>
              </w:rPr>
              <w:t>Proposed Change:</w:t>
            </w:r>
            <w:r w:rsidRPr="00027F81">
              <w:t> </w:t>
            </w:r>
            <w:r w:rsidRPr="00027F81">
              <w:rPr>
                <w:b/>
                <w:bCs/>
              </w:rPr>
              <w:t>19.4</w:t>
            </w:r>
            <w:r w:rsidRPr="00027F81">
              <w:t xml:space="preserve">     Each Participant in any Subregion identified in the Business Practice Manuals as not containing a central transmission hub permitting energy deliveries to that hub from any point within such Subregion, shall, in addition to providing the information required by Section 19.3, identify, on or before the deadline during the </w:t>
            </w:r>
            <w:r w:rsidRPr="00027F81">
              <w:lastRenderedPageBreak/>
              <w:t>Preschedule Day specified in the Business Practice Manuals, for each Hour of the Operating Day each point to which it can deliver energy, each point at which it can take receipt of energy, the quantity it can deliver or receive</w:t>
            </w:r>
            <w:r w:rsidRPr="00027F81">
              <w:rPr>
                <w:b/>
                <w:bCs/>
              </w:rPr>
              <w:t> </w:t>
            </w:r>
            <w:r w:rsidRPr="00027F81">
              <w:t>at each such point, and a numeric factor intended to prioritize use of transmission made available by Participants with positive Sharing Calculations and needed by Participants with negative Sharing Calculations for each such hour. </w:t>
            </w:r>
            <w:r w:rsidRPr="00027F81">
              <w:rPr>
                <w:b/>
                <w:bCs/>
              </w:rPr>
              <w:t>A Participant with a positive Sharing Calculation </w:t>
            </w:r>
            <w:r w:rsidRPr="006C10B0">
              <w:rPr>
                <w:b/>
                <w:bCs/>
                <w:color w:val="FF0000"/>
              </w:rPr>
              <w:t>or a negative Sharing Calculation </w:t>
            </w:r>
            <w:r w:rsidRPr="00027F81">
              <w:rPr>
                <w:b/>
                <w:bCs/>
              </w:rPr>
              <w:t>for an hour must provide a total quantity for all identified points </w:t>
            </w:r>
            <w:r w:rsidRPr="00F51FFE">
              <w:rPr>
                <w:b/>
                <w:bCs/>
                <w:color w:val="FF0000"/>
              </w:rPr>
              <w:t xml:space="preserve">that </w:t>
            </w:r>
            <w:proofErr w:type="gramStart"/>
            <w:r w:rsidRPr="00F51FFE">
              <w:rPr>
                <w:b/>
                <w:bCs/>
                <w:color w:val="FF0000"/>
              </w:rPr>
              <w:t>is</w:t>
            </w:r>
            <w:proofErr w:type="gramEnd"/>
            <w:r w:rsidRPr="00F51FFE">
              <w:rPr>
                <w:b/>
                <w:bCs/>
                <w:color w:val="FF0000"/>
              </w:rPr>
              <w:t xml:space="preserve"> either available per OASIS or reserved by the participant</w:t>
            </w:r>
            <w:r w:rsidRPr="00027F81">
              <w:rPr>
                <w:b/>
                <w:bCs/>
              </w:rPr>
              <w:t>. </w:t>
            </w:r>
            <w:r w:rsidRPr="000C4528">
              <w:rPr>
                <w:b/>
                <w:bCs/>
                <w:strike/>
                <w:color w:val="FF0000"/>
              </w:rPr>
              <w:t xml:space="preserve">at which it can deliver that is no less than the amount of its positive Sharing Calculation for such </w:t>
            </w:r>
            <w:proofErr w:type="gramStart"/>
            <w:r w:rsidRPr="000C4528">
              <w:rPr>
                <w:b/>
                <w:bCs/>
                <w:strike/>
                <w:color w:val="FF0000"/>
              </w:rPr>
              <w:t>hour</w:t>
            </w:r>
            <w:proofErr w:type="gramEnd"/>
            <w:r w:rsidRPr="000C4528">
              <w:rPr>
                <w:b/>
                <w:bCs/>
                <w:strike/>
                <w:color w:val="FF0000"/>
              </w:rPr>
              <w:t xml:space="preserve"> (adjusted as necessary for any RA Transfer in accordance with Section 20.1.2). A Participant with a negative Sharing Calculation for an hour must provide a total quantity for all identified points. at which it can take receipt that is no less than the amount of its negative Sharing Calculation for such hour (adjusted as necessary for any RA Transfer in accordance with Section 20.1.2).</w:t>
            </w:r>
            <w:r w:rsidRPr="00027F81">
              <w:t xml:space="preserve">  Participants shall provide this same information for each Operating Day on an expected or preliminary basis on each day of the Multi-Day-Ahead Assessment following, and based on, the expected Holdback Requirement estimates provided on </w:t>
            </w:r>
            <w:proofErr w:type="gramStart"/>
            <w:r w:rsidRPr="00027F81">
              <w:t>each such</w:t>
            </w:r>
            <w:proofErr w:type="gramEnd"/>
            <w:r w:rsidRPr="00027F81">
              <w:t xml:space="preserve"> day for the Operating Day.</w:t>
            </w:r>
          </w:p>
        </w:tc>
      </w:tr>
      <w:tr w:rsidR="000C4528" w14:paraId="64FDEE6D" w14:textId="77777777" w:rsidTr="003E4C24">
        <w:tc>
          <w:tcPr>
            <w:tcW w:w="9350" w:type="dxa"/>
            <w:gridSpan w:val="4"/>
          </w:tcPr>
          <w:p w14:paraId="1EE00953" w14:textId="77777777" w:rsidR="000C4528" w:rsidRDefault="00A5483E">
            <w:r>
              <w:rPr>
                <w:b/>
                <w:bCs/>
              </w:rPr>
              <w:lastRenderedPageBreak/>
              <w:t>Describe the benefits that will be realized from this change:</w:t>
            </w:r>
          </w:p>
          <w:p w14:paraId="1615FFAB" w14:textId="30CB5554" w:rsidR="00A5483E" w:rsidRPr="00A5483E" w:rsidRDefault="004A1FE8">
            <w:r w:rsidRPr="004A1FE8">
              <w:t>The current tariff requirement did not contemplate the potentially large sharing calculation results that could occur.  This requirement could result in harm to a participant that is not necessary for a successful program. </w:t>
            </w:r>
          </w:p>
        </w:tc>
      </w:tr>
      <w:tr w:rsidR="004A1FE8" w14:paraId="505DA5D6" w14:textId="77777777" w:rsidTr="003E4C24">
        <w:tc>
          <w:tcPr>
            <w:tcW w:w="9350" w:type="dxa"/>
            <w:gridSpan w:val="4"/>
          </w:tcPr>
          <w:p w14:paraId="571AC942" w14:textId="77777777" w:rsidR="004A1FE8" w:rsidRDefault="001530B0">
            <w:pPr>
              <w:rPr>
                <w:b/>
                <w:bCs/>
              </w:rPr>
            </w:pPr>
            <w:r>
              <w:rPr>
                <w:b/>
                <w:bCs/>
              </w:rPr>
              <w:t>Any data/information that would characterize the importance of the issue:</w:t>
            </w:r>
          </w:p>
          <w:p w14:paraId="3FFFB8B4" w14:textId="18C1E3A9" w:rsidR="00324C95" w:rsidRPr="00324C95" w:rsidRDefault="00324C95">
            <w:r>
              <w:t>-</w:t>
            </w:r>
          </w:p>
        </w:tc>
      </w:tr>
    </w:tbl>
    <w:p w14:paraId="7CA5C435" w14:textId="3D6ED44D" w:rsidR="009140B4" w:rsidRDefault="009140B4">
      <w:pPr>
        <w:rPr>
          <w:rFonts w:asciiTheme="majorHAnsi" w:eastAsiaTheme="majorEastAsia" w:hAnsiTheme="majorHAnsi" w:cstheme="majorBidi"/>
          <w:color w:val="0F4761" w:themeColor="accent1" w:themeShade="BF"/>
          <w:sz w:val="40"/>
          <w:szCs w:val="40"/>
        </w:rPr>
      </w:pPr>
      <w:r>
        <w:br w:type="page"/>
      </w:r>
    </w:p>
    <w:tbl>
      <w:tblPr>
        <w:tblStyle w:val="TableGrid"/>
        <w:tblW w:w="0" w:type="auto"/>
        <w:tblLook w:val="04A0" w:firstRow="1" w:lastRow="0" w:firstColumn="1" w:lastColumn="0" w:noHBand="0" w:noVBand="1"/>
      </w:tblPr>
      <w:tblGrid>
        <w:gridCol w:w="3116"/>
        <w:gridCol w:w="1559"/>
        <w:gridCol w:w="1558"/>
        <w:gridCol w:w="3117"/>
      </w:tblGrid>
      <w:tr w:rsidR="000F5A8A" w14:paraId="08E55BE2" w14:textId="77777777" w:rsidTr="003E4C24">
        <w:tc>
          <w:tcPr>
            <w:tcW w:w="9350" w:type="dxa"/>
            <w:gridSpan w:val="4"/>
          </w:tcPr>
          <w:p w14:paraId="5A339B9A" w14:textId="45745326" w:rsidR="000F5A8A" w:rsidRDefault="000F5A8A" w:rsidP="003E4C24">
            <w:pPr>
              <w:pStyle w:val="Heading1"/>
            </w:pPr>
            <w:bookmarkStart w:id="33" w:name="_Toc189746893"/>
            <w:bookmarkStart w:id="34" w:name="_Toc189840319"/>
            <w:r>
              <w:lastRenderedPageBreak/>
              <w:t>2024-CRF-002 / NVE / Earlier Forward Showing Metrics</w:t>
            </w:r>
            <w:bookmarkEnd w:id="33"/>
            <w:bookmarkEnd w:id="34"/>
          </w:p>
        </w:tc>
      </w:tr>
      <w:tr w:rsidR="000F5A8A" w14:paraId="72F657C3" w14:textId="77777777" w:rsidTr="003E4C24">
        <w:tc>
          <w:tcPr>
            <w:tcW w:w="3116" w:type="dxa"/>
          </w:tcPr>
          <w:p w14:paraId="6202A705" w14:textId="77777777" w:rsidR="000F5A8A" w:rsidRPr="00FD78B3" w:rsidRDefault="000F5A8A" w:rsidP="003E4C24">
            <w:pPr>
              <w:rPr>
                <w:b/>
                <w:bCs/>
                <w:color w:val="153D63" w:themeColor="text2" w:themeTint="E6"/>
              </w:rPr>
            </w:pPr>
            <w:r w:rsidRPr="00FD78B3">
              <w:rPr>
                <w:b/>
                <w:bCs/>
                <w:color w:val="153D63" w:themeColor="text2" w:themeTint="E6"/>
              </w:rPr>
              <w:t xml:space="preserve">WRAP Area: </w:t>
            </w:r>
          </w:p>
          <w:p w14:paraId="1ACE5451" w14:textId="0A561DAD" w:rsidR="000F5A8A" w:rsidRPr="00FD78B3" w:rsidRDefault="0065474D" w:rsidP="003E4C24">
            <w:pPr>
              <w:rPr>
                <w:color w:val="153D63" w:themeColor="text2" w:themeTint="E6"/>
              </w:rPr>
            </w:pPr>
            <w:r>
              <w:rPr>
                <w:color w:val="153D63" w:themeColor="text2" w:themeTint="E6"/>
              </w:rPr>
              <w:t>FS Capacity Requirement</w:t>
            </w:r>
          </w:p>
        </w:tc>
        <w:tc>
          <w:tcPr>
            <w:tcW w:w="3117" w:type="dxa"/>
            <w:gridSpan w:val="2"/>
          </w:tcPr>
          <w:p w14:paraId="788577AC" w14:textId="3ADA1100" w:rsidR="000F5A8A" w:rsidRDefault="00C1275B" w:rsidP="003E4C24">
            <w:pPr>
              <w:rPr>
                <w:color w:val="153D63" w:themeColor="text2" w:themeTint="E6"/>
              </w:rPr>
            </w:pPr>
            <w:r>
              <w:rPr>
                <w:b/>
                <w:bCs/>
                <w:color w:val="153D63" w:themeColor="text2" w:themeTint="E6"/>
              </w:rPr>
              <w:t>Tariff</w:t>
            </w:r>
            <w:r w:rsidR="000F5A8A" w:rsidRPr="004E4785">
              <w:rPr>
                <w:b/>
                <w:bCs/>
                <w:color w:val="153D63" w:themeColor="text2" w:themeTint="E6"/>
              </w:rPr>
              <w:t xml:space="preserve"> Change</w:t>
            </w:r>
            <w:r w:rsidR="000F5A8A" w:rsidRPr="00FD78B3">
              <w:rPr>
                <w:color w:val="153D63" w:themeColor="text2" w:themeTint="E6"/>
              </w:rPr>
              <w:t>:</w:t>
            </w:r>
            <w:r w:rsidR="000F5A8A">
              <w:rPr>
                <w:color w:val="153D63" w:themeColor="text2" w:themeTint="E6"/>
              </w:rPr>
              <w:t xml:space="preserve"> </w:t>
            </w:r>
          </w:p>
          <w:p w14:paraId="334CEFEE" w14:textId="77777777" w:rsidR="000F5A8A" w:rsidRPr="00FD78B3" w:rsidRDefault="000F5A8A" w:rsidP="003E4C24">
            <w:pPr>
              <w:rPr>
                <w:color w:val="153D63" w:themeColor="text2" w:themeTint="E6"/>
              </w:rPr>
            </w:pPr>
            <w:r>
              <w:rPr>
                <w:color w:val="153D63" w:themeColor="text2" w:themeTint="E6"/>
              </w:rPr>
              <w:t>Yes</w:t>
            </w:r>
          </w:p>
        </w:tc>
        <w:tc>
          <w:tcPr>
            <w:tcW w:w="3117" w:type="dxa"/>
          </w:tcPr>
          <w:p w14:paraId="299D4D69" w14:textId="77777777" w:rsidR="000F5A8A" w:rsidRDefault="000F5A8A" w:rsidP="003E4C24">
            <w:pPr>
              <w:rPr>
                <w:b/>
                <w:bCs/>
                <w:color w:val="153D63" w:themeColor="text2" w:themeTint="E6"/>
              </w:rPr>
            </w:pPr>
            <w:r w:rsidRPr="004E4785">
              <w:rPr>
                <w:b/>
                <w:bCs/>
                <w:color w:val="153D63" w:themeColor="text2" w:themeTint="E6"/>
              </w:rPr>
              <w:t>Time Score:</w:t>
            </w:r>
          </w:p>
          <w:p w14:paraId="12AF87B8" w14:textId="77777777" w:rsidR="000F5A8A" w:rsidRPr="004E4785" w:rsidRDefault="000F5A8A" w:rsidP="003E4C24">
            <w:pPr>
              <w:rPr>
                <w:color w:val="153D63" w:themeColor="text2" w:themeTint="E6"/>
              </w:rPr>
            </w:pPr>
            <w:r>
              <w:rPr>
                <w:color w:val="153D63" w:themeColor="text2" w:themeTint="E6"/>
              </w:rPr>
              <w:t>Medium</w:t>
            </w:r>
          </w:p>
        </w:tc>
      </w:tr>
      <w:tr w:rsidR="000F5A8A" w14:paraId="536FEA3F" w14:textId="77777777" w:rsidTr="003E4C24">
        <w:tc>
          <w:tcPr>
            <w:tcW w:w="4675" w:type="dxa"/>
            <w:gridSpan w:val="2"/>
          </w:tcPr>
          <w:p w14:paraId="6F91BD56" w14:textId="77777777" w:rsidR="000F5A8A" w:rsidRDefault="000F5A8A" w:rsidP="003E4C24">
            <w:r w:rsidRPr="00016218">
              <w:rPr>
                <w:b/>
                <w:bCs/>
              </w:rPr>
              <w:t>Lead Sponsor</w:t>
            </w:r>
            <w:r>
              <w:t>: Lindsey Schlekeway</w:t>
            </w:r>
          </w:p>
          <w:p w14:paraId="451982DB" w14:textId="77777777" w:rsidR="000F5A8A" w:rsidRDefault="000F5A8A" w:rsidP="003E4C24">
            <w:r>
              <w:t>lindsey.schlekeway@nvenergy.com</w:t>
            </w:r>
          </w:p>
        </w:tc>
        <w:tc>
          <w:tcPr>
            <w:tcW w:w="4675" w:type="dxa"/>
            <w:gridSpan w:val="2"/>
          </w:tcPr>
          <w:p w14:paraId="7EBDD3B6" w14:textId="77777777" w:rsidR="000F5A8A" w:rsidRPr="00651CDC" w:rsidRDefault="000F5A8A" w:rsidP="003E4C24">
            <w:r>
              <w:rPr>
                <w:b/>
                <w:bCs/>
              </w:rPr>
              <w:t xml:space="preserve">Co-Sponsor: </w:t>
            </w:r>
          </w:p>
        </w:tc>
      </w:tr>
      <w:tr w:rsidR="00C329E4" w14:paraId="1164B1FB" w14:textId="77777777" w:rsidTr="003E4C24">
        <w:tc>
          <w:tcPr>
            <w:tcW w:w="9350" w:type="dxa"/>
            <w:gridSpan w:val="4"/>
          </w:tcPr>
          <w:p w14:paraId="7B088860" w14:textId="72ECECCC" w:rsidR="00C329E4" w:rsidRPr="00C329E4" w:rsidRDefault="00C329E4" w:rsidP="003E4C24">
            <w:r w:rsidRPr="00F64D69">
              <w:rPr>
                <w:b/>
                <w:bCs/>
              </w:rPr>
              <w:t>Summary</w:t>
            </w:r>
            <w:r>
              <w:t xml:space="preserve">: </w:t>
            </w:r>
            <w:r w:rsidR="00F64D69" w:rsidRPr="00F64D69">
              <w:t>PRM, QCC, and Load Forecast Timing</w:t>
            </w:r>
          </w:p>
        </w:tc>
      </w:tr>
      <w:tr w:rsidR="000F5A8A" w14:paraId="7BD8367A" w14:textId="77777777" w:rsidTr="003E4C24">
        <w:tc>
          <w:tcPr>
            <w:tcW w:w="9350" w:type="dxa"/>
            <w:gridSpan w:val="4"/>
          </w:tcPr>
          <w:p w14:paraId="077A59EB" w14:textId="22BCF52C" w:rsidR="000F5A8A" w:rsidRPr="00A1769E" w:rsidRDefault="000F5A8A" w:rsidP="003E4C24">
            <w:r>
              <w:rPr>
                <w:b/>
                <w:bCs/>
              </w:rPr>
              <w:t xml:space="preserve">Description of the issue: </w:t>
            </w:r>
            <w:r w:rsidR="00F64D69" w:rsidRPr="00F64D69">
              <w:t xml:space="preserve">The current timeline for receiving the PRM, resource QCC, and load forecast </w:t>
            </w:r>
            <w:proofErr w:type="gramStart"/>
            <w:r w:rsidR="00F64D69" w:rsidRPr="00F64D69">
              <w:t>occur</w:t>
            </w:r>
            <w:proofErr w:type="gramEnd"/>
            <w:r w:rsidR="00F64D69" w:rsidRPr="00F64D69">
              <w:t xml:space="preserve"> too late for a participant to plan to meet the requirement. </w:t>
            </w:r>
          </w:p>
        </w:tc>
      </w:tr>
      <w:tr w:rsidR="000F5A8A" w14:paraId="41472EFF" w14:textId="77777777" w:rsidTr="003E4C24">
        <w:tc>
          <w:tcPr>
            <w:tcW w:w="9350" w:type="dxa"/>
            <w:gridSpan w:val="4"/>
          </w:tcPr>
          <w:p w14:paraId="7ABABA79" w14:textId="77777777" w:rsidR="000F5A8A" w:rsidRDefault="000F5A8A" w:rsidP="003E4C24">
            <w:r>
              <w:rPr>
                <w:b/>
                <w:bCs/>
              </w:rPr>
              <w:t xml:space="preserve">Proposed solution to the issue described: </w:t>
            </w:r>
          </w:p>
          <w:p w14:paraId="14CFA814" w14:textId="77777777" w:rsidR="00F64D69" w:rsidRPr="00F64D69" w:rsidRDefault="00F64D69" w:rsidP="00F64D69">
            <w:pPr>
              <w:numPr>
                <w:ilvl w:val="0"/>
                <w:numId w:val="1"/>
              </w:numPr>
            </w:pPr>
            <w:r w:rsidRPr="00F64D69">
              <w:t>PRM should be published no later than T-2 for the applicable binding season. (2 years ahead of the binding season)</w:t>
            </w:r>
          </w:p>
          <w:p w14:paraId="7D6FB7E4" w14:textId="77777777" w:rsidR="00F64D69" w:rsidRPr="00F64D69" w:rsidRDefault="00F64D69" w:rsidP="00F64D69">
            <w:pPr>
              <w:numPr>
                <w:ilvl w:val="0"/>
                <w:numId w:val="1"/>
              </w:numPr>
            </w:pPr>
            <w:r w:rsidRPr="00F64D69">
              <w:t>PRM should be approved by the Board no later than 1 month following the published deadline. </w:t>
            </w:r>
          </w:p>
          <w:p w14:paraId="41EEA19C" w14:textId="77777777" w:rsidR="00F64D69" w:rsidRPr="00F64D69" w:rsidRDefault="00F64D69" w:rsidP="00F64D69">
            <w:pPr>
              <w:numPr>
                <w:ilvl w:val="0"/>
                <w:numId w:val="1"/>
              </w:numPr>
            </w:pPr>
            <w:r w:rsidRPr="00F64D69">
              <w:t>The Resource QCC’s should be provided to the participant no later than one or two months following the published PRM. </w:t>
            </w:r>
          </w:p>
          <w:p w14:paraId="30AEE9AC" w14:textId="79D893A0" w:rsidR="00F64D69" w:rsidRPr="00AB7637" w:rsidRDefault="00F64D69" w:rsidP="003E4C24">
            <w:pPr>
              <w:numPr>
                <w:ilvl w:val="0"/>
                <w:numId w:val="1"/>
              </w:numPr>
            </w:pPr>
            <w:r w:rsidRPr="00F64D69">
              <w:t>The load forecast should be provided to the participant no later than one or two months following the published PRM. </w:t>
            </w:r>
          </w:p>
        </w:tc>
      </w:tr>
      <w:tr w:rsidR="000F5A8A" w14:paraId="7B4E11CB" w14:textId="77777777" w:rsidTr="003E4C24">
        <w:tc>
          <w:tcPr>
            <w:tcW w:w="9350" w:type="dxa"/>
            <w:gridSpan w:val="4"/>
          </w:tcPr>
          <w:p w14:paraId="62E2B95D" w14:textId="77777777" w:rsidR="000F5A8A" w:rsidRDefault="000F5A8A" w:rsidP="003E4C24">
            <w:pPr>
              <w:rPr>
                <w:b/>
                <w:bCs/>
              </w:rPr>
            </w:pPr>
            <w:r>
              <w:rPr>
                <w:b/>
                <w:bCs/>
              </w:rPr>
              <w:t>Specific document and language you would like changed:</w:t>
            </w:r>
          </w:p>
          <w:p w14:paraId="2EEDFEA0" w14:textId="2C589DA7" w:rsidR="000F5A8A" w:rsidRPr="003E595A" w:rsidRDefault="004A50B4" w:rsidP="003E4C24">
            <w:r w:rsidRPr="004A50B4">
              <w:rPr>
                <w:b/>
                <w:bCs/>
              </w:rPr>
              <w:t>Tariff section 14.3:</w:t>
            </w:r>
            <w:r w:rsidRPr="004A50B4">
              <w:t xml:space="preserve"> The FSPRM values used in the Forward Showing Submittals for a Binding Season shall be those values approved by the Board of Directors as the culmination of an Advance Assessment process. No later than twelve months before the FS Deadline for each Binding Season, WPP will determine and post the recommended FSPRM for each Subregion for each Month of such Binding Season. Participants shall provide their load, </w:t>
            </w:r>
            <w:proofErr w:type="gramStart"/>
            <w:r w:rsidRPr="004A50B4">
              <w:t>resource</w:t>
            </w:r>
            <w:proofErr w:type="gramEnd"/>
            <w:r w:rsidRPr="004A50B4">
              <w:t xml:space="preserve"> and other information reasonably required to perform the analyses and calculations required for the Advance Assessment, in accordance with the Advance Assessment information submission details and schedule specified in the Business Practice Manuals. No later than nine months before the FS Deadline for such Binding Season, the Board of Directors shall take its final action regarding approval of the FSPRM values for each Month of such Binding Season.</w:t>
            </w:r>
          </w:p>
        </w:tc>
      </w:tr>
      <w:tr w:rsidR="000F5A8A" w14:paraId="56166F44" w14:textId="77777777" w:rsidTr="003E4C24">
        <w:tc>
          <w:tcPr>
            <w:tcW w:w="9350" w:type="dxa"/>
            <w:gridSpan w:val="4"/>
          </w:tcPr>
          <w:p w14:paraId="203AAE92" w14:textId="77777777" w:rsidR="00927767" w:rsidRDefault="00927767" w:rsidP="00927767">
            <w:pPr>
              <w:rPr>
                <w:b/>
                <w:bCs/>
              </w:rPr>
            </w:pPr>
            <w:r>
              <w:rPr>
                <w:b/>
                <w:bCs/>
              </w:rPr>
              <w:t xml:space="preserve">Suggestion for how language could be updated to address </w:t>
            </w:r>
            <w:proofErr w:type="gramStart"/>
            <w:r>
              <w:rPr>
                <w:b/>
                <w:bCs/>
              </w:rPr>
              <w:t>issue</w:t>
            </w:r>
            <w:proofErr w:type="gramEnd"/>
            <w:r>
              <w:rPr>
                <w:b/>
                <w:bCs/>
              </w:rPr>
              <w:t>:</w:t>
            </w:r>
          </w:p>
          <w:p w14:paraId="0DA034CE" w14:textId="69D0FFF1" w:rsidR="000F5A8A" w:rsidRPr="004A50B4" w:rsidRDefault="004A50B4" w:rsidP="003E4C24">
            <w:r w:rsidRPr="004A50B4">
              <w:t>The FSPRM values used in the Forward Showing Submittals for a Binding Season shall be those values approved by the Board of Directors as the culmination of an Advance Assessment process. No later than </w:t>
            </w:r>
            <w:r w:rsidRPr="00B556A8">
              <w:rPr>
                <w:strike/>
                <w:color w:val="FF0000"/>
              </w:rPr>
              <w:t>twelve</w:t>
            </w:r>
            <w:r w:rsidRPr="00B556A8">
              <w:rPr>
                <w:color w:val="FF0000"/>
              </w:rPr>
              <w:t> twenty-four </w:t>
            </w:r>
            <w:r w:rsidRPr="004A50B4">
              <w:t>months before the </w:t>
            </w:r>
            <w:r w:rsidRPr="00B556A8">
              <w:rPr>
                <w:strike/>
                <w:color w:val="FF0000"/>
              </w:rPr>
              <w:t>FS Deadline for each</w:t>
            </w:r>
            <w:r w:rsidRPr="00B556A8">
              <w:rPr>
                <w:color w:val="FF0000"/>
              </w:rPr>
              <w:t> </w:t>
            </w:r>
            <w:r w:rsidRPr="004A50B4">
              <w:t xml:space="preserve">Binding Season, WPP will determine and post the recommended FSPRM for each Subregion for each Month of such Binding Season. Participants shall provide their load, </w:t>
            </w:r>
            <w:proofErr w:type="gramStart"/>
            <w:r w:rsidRPr="004A50B4">
              <w:t>resource</w:t>
            </w:r>
            <w:proofErr w:type="gramEnd"/>
            <w:r w:rsidRPr="004A50B4">
              <w:t xml:space="preserve"> and other information reasonably required to perform the analyses and calculations required for the Advance Assessment, in accordance with the Advance Assessment information submission details and schedule specified in the Business Practice Manuals. No later than </w:t>
            </w:r>
            <w:r w:rsidRPr="002A79F1">
              <w:rPr>
                <w:strike/>
                <w:color w:val="FF0000"/>
              </w:rPr>
              <w:t>nine</w:t>
            </w:r>
            <w:r w:rsidRPr="002A79F1">
              <w:rPr>
                <w:color w:val="FF0000"/>
              </w:rPr>
              <w:t> twenty-three </w:t>
            </w:r>
            <w:r w:rsidRPr="004A50B4">
              <w:t>months before the FS Deadline for such Binding Season, the Board of Directors shall take its final action regarding approval of the FSPRM values for each Month of such Binding Season. </w:t>
            </w:r>
            <w:r w:rsidRPr="002A79F1">
              <w:rPr>
                <w:color w:val="FF0000"/>
              </w:rPr>
              <w:t xml:space="preserve">The Program Operator will </w:t>
            </w:r>
            <w:r w:rsidRPr="002A79F1">
              <w:rPr>
                <w:color w:val="FF0000"/>
              </w:rPr>
              <w:lastRenderedPageBreak/>
              <w:t>provide the resource QCC and load forecast to the participant no later than twenty-two months before the Binding Season. </w:t>
            </w:r>
          </w:p>
        </w:tc>
      </w:tr>
      <w:tr w:rsidR="000F5A8A" w14:paraId="1EF6981B" w14:textId="77777777" w:rsidTr="003E4C24">
        <w:tc>
          <w:tcPr>
            <w:tcW w:w="9350" w:type="dxa"/>
            <w:gridSpan w:val="4"/>
          </w:tcPr>
          <w:p w14:paraId="35B778E4" w14:textId="77777777" w:rsidR="000F5A8A" w:rsidRDefault="000F5A8A" w:rsidP="003E4C24">
            <w:r>
              <w:rPr>
                <w:b/>
                <w:bCs/>
              </w:rPr>
              <w:lastRenderedPageBreak/>
              <w:t>Describe the benefits that will be realized from this change:</w:t>
            </w:r>
          </w:p>
          <w:p w14:paraId="5AA59FF6" w14:textId="21F55B2E" w:rsidR="000F5A8A" w:rsidRPr="00A5483E" w:rsidRDefault="00CE5CF2" w:rsidP="003E4C24">
            <w:r w:rsidRPr="00CE5CF2">
              <w:t>The change will allow for additional time for a participant to respond to the binding season requirement which reduces the program uncertainty. </w:t>
            </w:r>
          </w:p>
        </w:tc>
      </w:tr>
      <w:tr w:rsidR="000F5A8A" w14:paraId="5A17078A" w14:textId="77777777" w:rsidTr="003E4C24">
        <w:tc>
          <w:tcPr>
            <w:tcW w:w="9350" w:type="dxa"/>
            <w:gridSpan w:val="4"/>
          </w:tcPr>
          <w:p w14:paraId="75360152" w14:textId="77777777" w:rsidR="000F5A8A" w:rsidRDefault="000F5A8A" w:rsidP="003E4C24">
            <w:pPr>
              <w:rPr>
                <w:b/>
                <w:bCs/>
              </w:rPr>
            </w:pPr>
            <w:r>
              <w:rPr>
                <w:b/>
                <w:bCs/>
              </w:rPr>
              <w:t>Any data/information that would characterize the importance of the issue:</w:t>
            </w:r>
          </w:p>
          <w:p w14:paraId="33DDABDD" w14:textId="36FE20CD" w:rsidR="000F5A8A" w:rsidRPr="00324C95" w:rsidRDefault="00927767" w:rsidP="003E4C24">
            <w:r w:rsidRPr="00927767">
              <w:t xml:space="preserve">The current timeline does not allow sufficient time for a participant to act to meet the Forward Showing Requirement.  Additionally, if any modeling changes occurred then the participant maybe planning to an estimated requirement that </w:t>
            </w:r>
            <w:proofErr w:type="gramStart"/>
            <w:r w:rsidRPr="00927767">
              <w:t>maybe</w:t>
            </w:r>
            <w:proofErr w:type="gramEnd"/>
            <w:r w:rsidRPr="00927767">
              <w:t xml:space="preserve"> completely different than the resulting requirement that ends up being approved by the Board.  Furthermore, the QCC and load forecast should be provided to the </w:t>
            </w:r>
            <w:proofErr w:type="gramStart"/>
            <w:r w:rsidRPr="00927767">
              <w:t>participant</w:t>
            </w:r>
            <w:proofErr w:type="gramEnd"/>
            <w:r w:rsidRPr="00927767">
              <w:t xml:space="preserve"> </w:t>
            </w:r>
            <w:proofErr w:type="gramStart"/>
            <w:r w:rsidRPr="00927767">
              <w:t>in order for</w:t>
            </w:r>
            <w:proofErr w:type="gramEnd"/>
            <w:r w:rsidRPr="00927767">
              <w:t xml:space="preserve"> the participant to plan to meet the requirement. Currently, the load forecast </w:t>
            </w:r>
            <w:proofErr w:type="gramStart"/>
            <w:r w:rsidRPr="00927767">
              <w:t>in particular is</w:t>
            </w:r>
            <w:proofErr w:type="gramEnd"/>
            <w:r w:rsidRPr="00927767">
              <w:t xml:space="preserve"> provided too close to the Forward Showing deadline and does not allow sufficient time for a participant to act. This creates additional program uncertainty and risk to the participant. The proposed timeline is still not sufficient for a participant to plan to meet the requirement and longer time horizons should be pursued, however, it is a proposal for a bare minimum that the program should strive to meet to reduce the uncertainty. </w:t>
            </w:r>
          </w:p>
        </w:tc>
      </w:tr>
    </w:tbl>
    <w:p w14:paraId="6EF4E5BD" w14:textId="77777777" w:rsidR="006F16A4" w:rsidRDefault="000F5A8A">
      <w:pPr>
        <w:rPr>
          <w:rFonts w:asciiTheme="majorHAnsi" w:eastAsiaTheme="majorEastAsia" w:hAnsiTheme="majorHAnsi" w:cstheme="majorBidi"/>
          <w:color w:val="0F4761" w:themeColor="accent1" w:themeShade="BF"/>
          <w:sz w:val="40"/>
          <w:szCs w:val="40"/>
        </w:rPr>
      </w:pPr>
      <w:r>
        <w:br w:type="page"/>
      </w:r>
    </w:p>
    <w:tbl>
      <w:tblPr>
        <w:tblStyle w:val="TableGrid"/>
        <w:tblW w:w="0" w:type="auto"/>
        <w:tblLook w:val="04A0" w:firstRow="1" w:lastRow="0" w:firstColumn="1" w:lastColumn="0" w:noHBand="0" w:noVBand="1"/>
      </w:tblPr>
      <w:tblGrid>
        <w:gridCol w:w="3116"/>
        <w:gridCol w:w="1559"/>
        <w:gridCol w:w="1558"/>
        <w:gridCol w:w="3117"/>
      </w:tblGrid>
      <w:tr w:rsidR="006F16A4" w14:paraId="604B5753" w14:textId="77777777" w:rsidTr="003E4C24">
        <w:tc>
          <w:tcPr>
            <w:tcW w:w="9350" w:type="dxa"/>
            <w:gridSpan w:val="4"/>
          </w:tcPr>
          <w:p w14:paraId="441E7A6C" w14:textId="708FC853" w:rsidR="006F16A4" w:rsidRDefault="006F16A4" w:rsidP="003E4C24">
            <w:pPr>
              <w:pStyle w:val="Heading1"/>
            </w:pPr>
            <w:bookmarkStart w:id="35" w:name="_Toc189746894"/>
            <w:bookmarkStart w:id="36" w:name="_Toc189840320"/>
            <w:r>
              <w:lastRenderedPageBreak/>
              <w:t>2024-CRF-00</w:t>
            </w:r>
            <w:r w:rsidR="00EC05A2">
              <w:t>3</w:t>
            </w:r>
            <w:r>
              <w:t xml:space="preserve"> / </w:t>
            </w:r>
            <w:r w:rsidR="00EC05A2">
              <w:t>APS</w:t>
            </w:r>
            <w:r>
              <w:t xml:space="preserve"> / </w:t>
            </w:r>
            <w:r w:rsidR="008A2916">
              <w:t>Demand Response QCC</w:t>
            </w:r>
            <w:bookmarkEnd w:id="35"/>
            <w:bookmarkEnd w:id="36"/>
          </w:p>
        </w:tc>
      </w:tr>
      <w:tr w:rsidR="006F16A4" w14:paraId="6CA9BCE2" w14:textId="77777777" w:rsidTr="003E4C24">
        <w:tc>
          <w:tcPr>
            <w:tcW w:w="3116" w:type="dxa"/>
          </w:tcPr>
          <w:p w14:paraId="4562000A" w14:textId="77777777" w:rsidR="006F16A4" w:rsidRPr="00FD78B3" w:rsidRDefault="006F16A4" w:rsidP="003E4C24">
            <w:pPr>
              <w:rPr>
                <w:b/>
                <w:bCs/>
                <w:color w:val="153D63" w:themeColor="text2" w:themeTint="E6"/>
              </w:rPr>
            </w:pPr>
            <w:r w:rsidRPr="00FD78B3">
              <w:rPr>
                <w:b/>
                <w:bCs/>
                <w:color w:val="153D63" w:themeColor="text2" w:themeTint="E6"/>
              </w:rPr>
              <w:t xml:space="preserve">WRAP Area: </w:t>
            </w:r>
          </w:p>
          <w:p w14:paraId="5BA86742" w14:textId="4F86FDFF" w:rsidR="006F16A4" w:rsidRPr="00FD78B3" w:rsidRDefault="0065474D" w:rsidP="003E4C24">
            <w:pPr>
              <w:rPr>
                <w:color w:val="153D63" w:themeColor="text2" w:themeTint="E6"/>
              </w:rPr>
            </w:pPr>
            <w:r>
              <w:rPr>
                <w:color w:val="153D63" w:themeColor="text2" w:themeTint="E6"/>
              </w:rPr>
              <w:t>Resource Accreditation</w:t>
            </w:r>
          </w:p>
        </w:tc>
        <w:tc>
          <w:tcPr>
            <w:tcW w:w="3117" w:type="dxa"/>
            <w:gridSpan w:val="2"/>
          </w:tcPr>
          <w:p w14:paraId="668E30D5" w14:textId="371D76F2" w:rsidR="006F16A4" w:rsidRDefault="00C1275B" w:rsidP="003E4C24">
            <w:pPr>
              <w:rPr>
                <w:color w:val="153D63" w:themeColor="text2" w:themeTint="E6"/>
              </w:rPr>
            </w:pPr>
            <w:r>
              <w:rPr>
                <w:b/>
                <w:bCs/>
                <w:color w:val="153D63" w:themeColor="text2" w:themeTint="E6"/>
              </w:rPr>
              <w:t>Tariff</w:t>
            </w:r>
            <w:r w:rsidR="006F16A4" w:rsidRPr="004E4785">
              <w:rPr>
                <w:b/>
                <w:bCs/>
                <w:color w:val="153D63" w:themeColor="text2" w:themeTint="E6"/>
              </w:rPr>
              <w:t xml:space="preserve"> Change</w:t>
            </w:r>
            <w:r w:rsidR="006F16A4" w:rsidRPr="00FD78B3">
              <w:rPr>
                <w:color w:val="153D63" w:themeColor="text2" w:themeTint="E6"/>
              </w:rPr>
              <w:t>:</w:t>
            </w:r>
            <w:r w:rsidR="006F16A4">
              <w:rPr>
                <w:color w:val="153D63" w:themeColor="text2" w:themeTint="E6"/>
              </w:rPr>
              <w:t xml:space="preserve"> </w:t>
            </w:r>
          </w:p>
          <w:p w14:paraId="77F43DC2" w14:textId="47D1B9E0" w:rsidR="006F16A4" w:rsidRPr="00FD78B3" w:rsidRDefault="00EC05A2" w:rsidP="003E4C24">
            <w:pPr>
              <w:rPr>
                <w:color w:val="153D63" w:themeColor="text2" w:themeTint="E6"/>
              </w:rPr>
            </w:pPr>
            <w:r>
              <w:rPr>
                <w:color w:val="153D63" w:themeColor="text2" w:themeTint="E6"/>
              </w:rPr>
              <w:t>Yes</w:t>
            </w:r>
          </w:p>
        </w:tc>
        <w:tc>
          <w:tcPr>
            <w:tcW w:w="3117" w:type="dxa"/>
          </w:tcPr>
          <w:p w14:paraId="6FF22845" w14:textId="77777777" w:rsidR="006F16A4" w:rsidRDefault="006F16A4" w:rsidP="003E4C24">
            <w:pPr>
              <w:rPr>
                <w:b/>
                <w:bCs/>
                <w:color w:val="153D63" w:themeColor="text2" w:themeTint="E6"/>
              </w:rPr>
            </w:pPr>
            <w:r w:rsidRPr="004E4785">
              <w:rPr>
                <w:b/>
                <w:bCs/>
                <w:color w:val="153D63" w:themeColor="text2" w:themeTint="E6"/>
              </w:rPr>
              <w:t>Time Score:</w:t>
            </w:r>
          </w:p>
          <w:p w14:paraId="37FFD561" w14:textId="3E982DBE" w:rsidR="006F16A4" w:rsidRPr="004E4785" w:rsidRDefault="00EC05A2" w:rsidP="003E4C24">
            <w:pPr>
              <w:rPr>
                <w:color w:val="153D63" w:themeColor="text2" w:themeTint="E6"/>
              </w:rPr>
            </w:pPr>
            <w:r>
              <w:rPr>
                <w:color w:val="153D63" w:themeColor="text2" w:themeTint="E6"/>
              </w:rPr>
              <w:t>Long</w:t>
            </w:r>
          </w:p>
        </w:tc>
      </w:tr>
      <w:tr w:rsidR="006F16A4" w14:paraId="718D7F62" w14:textId="77777777" w:rsidTr="003E4C24">
        <w:tc>
          <w:tcPr>
            <w:tcW w:w="4675" w:type="dxa"/>
            <w:gridSpan w:val="2"/>
          </w:tcPr>
          <w:p w14:paraId="46C0115A" w14:textId="6742A765" w:rsidR="00EE62E8" w:rsidRDefault="006F16A4" w:rsidP="00EE62E8">
            <w:r w:rsidRPr="00016218">
              <w:rPr>
                <w:b/>
                <w:bCs/>
              </w:rPr>
              <w:t>Lead Sponsor</w:t>
            </w:r>
            <w:r>
              <w:t xml:space="preserve">: </w:t>
            </w:r>
            <w:r w:rsidR="005C160E">
              <w:t>Brandon Holmes</w:t>
            </w:r>
          </w:p>
          <w:p w14:paraId="51668F39" w14:textId="5E209F32" w:rsidR="006F16A4" w:rsidRDefault="00BE1924" w:rsidP="003E4C24">
            <w:r>
              <w:t>brandon</w:t>
            </w:r>
            <w:r w:rsidR="005C160E">
              <w:t>.h</w:t>
            </w:r>
            <w:r>
              <w:t>o</w:t>
            </w:r>
            <w:r w:rsidR="005C160E">
              <w:t>lmes@aps.com</w:t>
            </w:r>
          </w:p>
        </w:tc>
        <w:tc>
          <w:tcPr>
            <w:tcW w:w="4675" w:type="dxa"/>
            <w:gridSpan w:val="2"/>
          </w:tcPr>
          <w:p w14:paraId="66915C44" w14:textId="77777777" w:rsidR="006F16A4" w:rsidRPr="00651CDC" w:rsidRDefault="006F16A4" w:rsidP="003E4C24">
            <w:r>
              <w:rPr>
                <w:b/>
                <w:bCs/>
              </w:rPr>
              <w:t xml:space="preserve">Co-Sponsor: </w:t>
            </w:r>
          </w:p>
        </w:tc>
      </w:tr>
      <w:tr w:rsidR="006F16A4" w14:paraId="6B950E1B" w14:textId="77777777" w:rsidTr="003E4C24">
        <w:tc>
          <w:tcPr>
            <w:tcW w:w="9350" w:type="dxa"/>
            <w:gridSpan w:val="4"/>
          </w:tcPr>
          <w:p w14:paraId="5C5CB4E8" w14:textId="763AD223" w:rsidR="006F16A4" w:rsidRPr="00C329E4" w:rsidRDefault="006F16A4" w:rsidP="003E4C24">
            <w:r w:rsidRPr="00F64D69">
              <w:rPr>
                <w:b/>
                <w:bCs/>
              </w:rPr>
              <w:t>Summary</w:t>
            </w:r>
            <w:r>
              <w:t xml:space="preserve">: </w:t>
            </w:r>
            <w:r w:rsidR="005C160E" w:rsidRPr="005C160E">
              <w:t>Incorporation of call limits in calculation of QCC for use-limited resources</w:t>
            </w:r>
            <w:r w:rsidR="005C160E">
              <w:t>.</w:t>
            </w:r>
          </w:p>
        </w:tc>
      </w:tr>
      <w:tr w:rsidR="006F16A4" w14:paraId="6C8748DE" w14:textId="77777777" w:rsidTr="003E4C24">
        <w:tc>
          <w:tcPr>
            <w:tcW w:w="9350" w:type="dxa"/>
            <w:gridSpan w:val="4"/>
          </w:tcPr>
          <w:p w14:paraId="504B1C3E" w14:textId="0496ECE1" w:rsidR="006F16A4" w:rsidRPr="00A1769E" w:rsidRDefault="006F16A4" w:rsidP="003E4C24">
            <w:r>
              <w:rPr>
                <w:b/>
                <w:bCs/>
              </w:rPr>
              <w:t xml:space="preserve">Description of the issue: </w:t>
            </w:r>
            <w:r w:rsidR="00BE1924" w:rsidRPr="00BE1924">
              <w:t>Tariff and Protocols cover use-limited resource duration for calculation of QCC, but not in number of seasonal events or calls.</w:t>
            </w:r>
            <w:r w:rsidR="00BE1924" w:rsidRPr="00BE1924">
              <w:rPr>
                <w:b/>
                <w:bCs/>
              </w:rPr>
              <w:t> </w:t>
            </w:r>
          </w:p>
        </w:tc>
      </w:tr>
      <w:tr w:rsidR="006F16A4" w14:paraId="0BCFF07E" w14:textId="77777777" w:rsidTr="003E4C24">
        <w:tc>
          <w:tcPr>
            <w:tcW w:w="9350" w:type="dxa"/>
            <w:gridSpan w:val="4"/>
          </w:tcPr>
          <w:p w14:paraId="1D035E64" w14:textId="77777777" w:rsidR="006F16A4" w:rsidRDefault="006F16A4" w:rsidP="003E4C24">
            <w:r>
              <w:rPr>
                <w:b/>
                <w:bCs/>
              </w:rPr>
              <w:t xml:space="preserve">Proposed solution to the issue described: </w:t>
            </w:r>
          </w:p>
          <w:p w14:paraId="308224F1" w14:textId="0623A1E3" w:rsidR="006F16A4" w:rsidRPr="00AB7637" w:rsidRDefault="00370D9D" w:rsidP="00EE62E8">
            <w:r w:rsidRPr="00370D9D">
              <w:t xml:space="preserve">Calculation of QCC should be informed by </w:t>
            </w:r>
            <w:proofErr w:type="gramStart"/>
            <w:r w:rsidRPr="00370D9D">
              <w:t>modeling of</w:t>
            </w:r>
            <w:proofErr w:type="gramEnd"/>
            <w:r w:rsidRPr="00370D9D">
              <w:t xml:space="preserve"> call limits for use-limited resources.</w:t>
            </w:r>
          </w:p>
        </w:tc>
      </w:tr>
      <w:tr w:rsidR="006F16A4" w14:paraId="0D8B1BC3" w14:textId="77777777" w:rsidTr="003E4C24">
        <w:tc>
          <w:tcPr>
            <w:tcW w:w="9350" w:type="dxa"/>
            <w:gridSpan w:val="4"/>
          </w:tcPr>
          <w:p w14:paraId="4349DB6E" w14:textId="77777777" w:rsidR="006F16A4" w:rsidRDefault="006F16A4" w:rsidP="003E4C24">
            <w:pPr>
              <w:rPr>
                <w:b/>
                <w:bCs/>
              </w:rPr>
            </w:pPr>
            <w:r>
              <w:rPr>
                <w:b/>
                <w:bCs/>
              </w:rPr>
              <w:t>Specific document and language you would like changed:</w:t>
            </w:r>
          </w:p>
          <w:p w14:paraId="0166912B" w14:textId="7F6B1123" w:rsidR="00C32CE4" w:rsidRPr="00C32CE4" w:rsidRDefault="00370D9D" w:rsidP="003E4C24">
            <w:r w:rsidRPr="00370D9D">
              <w:t>BPM 105 Section 4.6</w:t>
            </w:r>
            <w:r w:rsidR="00C32CE4">
              <w:t xml:space="preserve"> </w:t>
            </w:r>
            <w:r w:rsidR="00C32CE4" w:rsidRPr="00C32CE4">
              <w:rPr>
                <w:b/>
                <w:bCs/>
                <w:color w:val="215E99" w:themeColor="text2" w:themeTint="BF"/>
              </w:rPr>
              <w:t>Demand Response</w:t>
            </w:r>
            <w:r w:rsidR="00C32CE4" w:rsidRPr="00C32CE4">
              <w:rPr>
                <w:color w:val="215E99" w:themeColor="text2" w:themeTint="BF"/>
              </w:rPr>
              <w:t xml:space="preserve"> </w:t>
            </w:r>
          </w:p>
          <w:p w14:paraId="3AA1E72F" w14:textId="77777777" w:rsidR="008A2916" w:rsidRDefault="00C32CE4" w:rsidP="003E4C24">
            <w:pPr>
              <w:rPr>
                <w:color w:val="215E99" w:themeColor="text2" w:themeTint="BF"/>
              </w:rPr>
            </w:pPr>
            <w:r w:rsidRPr="00C32CE4">
              <w:rPr>
                <w:color w:val="215E99" w:themeColor="text2" w:themeTint="BF"/>
              </w:rPr>
              <w:t xml:space="preserve">DR can be utilized as a Qualifying Resource if it is greater than 1 MW in aggregate (see Section 3.3) and can be demonstrated to be controllable and dispatchable by the Participant or host utility. DR programs that register as Qualifying Resources will be assigned a seasonal QCC value (one value for each Binding Season) and will need to meet testing criteria and demonstrate load reduction (see Section 3.4.2.3) for a period of up to five continuous hours. A DR program may be able to demonstrate load reduction for a period beyond five continuous </w:t>
            </w:r>
            <w:proofErr w:type="gramStart"/>
            <w:r w:rsidRPr="00C32CE4">
              <w:rPr>
                <w:color w:val="215E99" w:themeColor="text2" w:themeTint="BF"/>
              </w:rPr>
              <w:t>hours, but</w:t>
            </w:r>
            <w:proofErr w:type="gramEnd"/>
            <w:r w:rsidRPr="00C32CE4">
              <w:rPr>
                <w:color w:val="215E99" w:themeColor="text2" w:themeTint="BF"/>
              </w:rPr>
              <w:t xml:space="preserve"> cannot receive QCC above 100% of what is demonstrated for the </w:t>
            </w:r>
            <w:proofErr w:type="gramStart"/>
            <w:r w:rsidRPr="00C32CE4">
              <w:rPr>
                <w:color w:val="215E99" w:themeColor="text2" w:themeTint="BF"/>
              </w:rPr>
              <w:t>five hour</w:t>
            </w:r>
            <w:proofErr w:type="gramEnd"/>
            <w:r w:rsidRPr="00C32CE4">
              <w:rPr>
                <w:color w:val="215E99" w:themeColor="text2" w:themeTint="BF"/>
              </w:rPr>
              <w:t xml:space="preserve"> duration.11 Programs that </w:t>
            </w:r>
            <w:proofErr w:type="gramStart"/>
            <w:r w:rsidRPr="00C32CE4">
              <w:rPr>
                <w:color w:val="215E99" w:themeColor="text2" w:themeTint="BF"/>
              </w:rPr>
              <w:t>are not able to</w:t>
            </w:r>
            <w:proofErr w:type="gramEnd"/>
            <w:r w:rsidRPr="00C32CE4">
              <w:rPr>
                <w:color w:val="215E99" w:themeColor="text2" w:themeTint="BF"/>
              </w:rPr>
              <w:t xml:space="preserve"> provide five hours of load reduction will have their load reduction prorated over the course of five hours for the determination of QCC value. Participants registering a DR Qualifying Resource must either </w:t>
            </w:r>
            <w:proofErr w:type="spellStart"/>
            <w:r w:rsidRPr="00C32CE4">
              <w:rPr>
                <w:color w:val="215E99" w:themeColor="text2" w:themeTint="BF"/>
              </w:rPr>
              <w:t>i</w:t>
            </w:r>
            <w:proofErr w:type="spellEnd"/>
            <w:r w:rsidRPr="00C32CE4">
              <w:rPr>
                <w:color w:val="215E99" w:themeColor="text2" w:themeTint="BF"/>
              </w:rPr>
              <w:t>) demonstrate that the DR program was not operated historically and has therefore not impacted the Historical Load Data provided by the Participant for determination of their P50 load value, or ii) provide historical information about the operations of the DR program such that the load reduction impacts of the DR program can be removed from the historical data prior to determination of the P50 load value.</w:t>
            </w:r>
          </w:p>
          <w:p w14:paraId="4DBA6363" w14:textId="77777777" w:rsidR="008A2916" w:rsidRDefault="008A2916" w:rsidP="003E4C24">
            <w:pPr>
              <w:rPr>
                <w:color w:val="215E99" w:themeColor="text2" w:themeTint="BF"/>
              </w:rPr>
            </w:pPr>
          </w:p>
          <w:p w14:paraId="11CAE5AE" w14:textId="32C05E06" w:rsidR="008A2916" w:rsidRDefault="00C32CE4" w:rsidP="003E4C24">
            <w:pPr>
              <w:rPr>
                <w:color w:val="215E99" w:themeColor="text2" w:themeTint="BF"/>
              </w:rPr>
            </w:pPr>
            <w:r w:rsidRPr="00C32CE4">
              <w:rPr>
                <w:color w:val="215E99" w:themeColor="text2" w:themeTint="BF"/>
              </w:rPr>
              <w:t xml:space="preserve">The QCC value of the DR Qualified Resource is determined by multiplying the maximum load reduction (in MW) the resource is capable of sustaining by the number of hours the resource can demonstrate such sustained load reduction capability (up to five hours, maximum) divided by five. </w:t>
            </w:r>
          </w:p>
          <w:p w14:paraId="5A16AB8E" w14:textId="77777777" w:rsidR="008A2916" w:rsidRDefault="008A2916" w:rsidP="003E4C24">
            <w:pPr>
              <w:rPr>
                <w:color w:val="215E99" w:themeColor="text2" w:themeTint="BF"/>
              </w:rPr>
            </w:pPr>
          </w:p>
          <w:p w14:paraId="774FFE44" w14:textId="77777777" w:rsidR="008A2916" w:rsidRDefault="00C32CE4" w:rsidP="003E4C24">
            <w:pPr>
              <w:rPr>
                <w:color w:val="215E99" w:themeColor="text2" w:themeTint="BF"/>
              </w:rPr>
            </w:pPr>
            <w:r w:rsidRPr="00C32CE4">
              <w:rPr>
                <w:color w:val="215E99" w:themeColor="text2" w:themeTint="BF"/>
              </w:rPr>
              <w:t xml:space="preserve">A DR Qualifying Resource will be reflected in the FS Submittal as a capacity resource by submitting it as a ‘Resource’ in the FS Submittal. As with all resources, the QCC value of the DR Qualifying Resource will count toward a Participant meeting its FS Capacity Requirement. </w:t>
            </w:r>
          </w:p>
          <w:p w14:paraId="1F811184" w14:textId="77777777" w:rsidR="008A2916" w:rsidRDefault="008A2916" w:rsidP="003E4C24">
            <w:pPr>
              <w:rPr>
                <w:color w:val="215E99" w:themeColor="text2" w:themeTint="BF"/>
              </w:rPr>
            </w:pPr>
          </w:p>
          <w:p w14:paraId="00DDC9CC" w14:textId="77777777" w:rsidR="008A2916" w:rsidRDefault="00C32CE4" w:rsidP="003E4C24">
            <w:pPr>
              <w:rPr>
                <w:color w:val="215E99" w:themeColor="text2" w:themeTint="BF"/>
              </w:rPr>
            </w:pPr>
            <w:r w:rsidRPr="00C32CE4">
              <w:rPr>
                <w:color w:val="215E99" w:themeColor="text2" w:themeTint="BF"/>
              </w:rPr>
              <w:t xml:space="preserve">If DR does not meet the criteria of a Qualifying Resource, its contribution to the load reduction may be captured in the historical data used to calculate the P50 load in the FS. </w:t>
            </w:r>
          </w:p>
          <w:p w14:paraId="462BAA7D" w14:textId="77777777" w:rsidR="008A2916" w:rsidRDefault="00C32CE4" w:rsidP="003E4C24">
            <w:pPr>
              <w:rPr>
                <w:color w:val="215E99" w:themeColor="text2" w:themeTint="BF"/>
              </w:rPr>
            </w:pPr>
            <w:r w:rsidRPr="008A2916">
              <w:rPr>
                <w:b/>
                <w:bCs/>
                <w:i/>
                <w:iCs/>
                <w:color w:val="215E99" w:themeColor="text2" w:themeTint="BF"/>
              </w:rPr>
              <w:lastRenderedPageBreak/>
              <w:t>4.6.1 New, Expanded, or Late Registered DR Resources</w:t>
            </w:r>
            <w:r w:rsidRPr="00C32CE4">
              <w:rPr>
                <w:color w:val="215E99" w:themeColor="text2" w:themeTint="BF"/>
              </w:rPr>
              <w:t xml:space="preserve"> </w:t>
            </w:r>
          </w:p>
          <w:p w14:paraId="619338A9" w14:textId="57933A2D" w:rsidR="00C32CE4" w:rsidRPr="00C32CE4" w:rsidRDefault="00C32CE4" w:rsidP="003E4C24">
            <w:pPr>
              <w:rPr>
                <w:color w:val="215E99" w:themeColor="text2" w:themeTint="BF"/>
              </w:rPr>
            </w:pPr>
            <w:r w:rsidRPr="00C32CE4">
              <w:rPr>
                <w:color w:val="215E99" w:themeColor="text2" w:themeTint="BF"/>
              </w:rPr>
              <w:t>DR programs intended to be used as Qualifying Resources in the first Year of operation or expansion of an existing program or DR programs not registered at the time of the Advance Assessment will be reported at 50% of the expected capability, unless validated by testing the program to 100% of the claimed capability prior to the Binding Season. See the section related to DR testing requirements (within Section 3.4.2) for more information</w:t>
            </w:r>
          </w:p>
          <w:p w14:paraId="0373D3A5" w14:textId="6E0F57FE" w:rsidR="006F16A4" w:rsidRPr="003E595A" w:rsidRDefault="006F16A4" w:rsidP="003E4C24"/>
        </w:tc>
      </w:tr>
      <w:tr w:rsidR="006F16A4" w14:paraId="5D3FED8F" w14:textId="77777777" w:rsidTr="003E4C24">
        <w:tc>
          <w:tcPr>
            <w:tcW w:w="9350" w:type="dxa"/>
            <w:gridSpan w:val="4"/>
          </w:tcPr>
          <w:p w14:paraId="2CB4D1DF" w14:textId="77777777" w:rsidR="006F16A4" w:rsidRDefault="006F16A4" w:rsidP="003E4C24">
            <w:pPr>
              <w:rPr>
                <w:b/>
                <w:bCs/>
              </w:rPr>
            </w:pPr>
            <w:r>
              <w:rPr>
                <w:b/>
                <w:bCs/>
              </w:rPr>
              <w:lastRenderedPageBreak/>
              <w:t xml:space="preserve">Suggestion for how language could be updated to address </w:t>
            </w:r>
            <w:proofErr w:type="gramStart"/>
            <w:r>
              <w:rPr>
                <w:b/>
                <w:bCs/>
              </w:rPr>
              <w:t>issue</w:t>
            </w:r>
            <w:proofErr w:type="gramEnd"/>
            <w:r>
              <w:rPr>
                <w:b/>
                <w:bCs/>
              </w:rPr>
              <w:t>:</w:t>
            </w:r>
          </w:p>
          <w:p w14:paraId="2FE41D2C" w14:textId="78B63947" w:rsidR="006F16A4" w:rsidRPr="004A50B4" w:rsidRDefault="00370D9D" w:rsidP="003E4C24">
            <w:r>
              <w:t>-</w:t>
            </w:r>
          </w:p>
        </w:tc>
      </w:tr>
      <w:tr w:rsidR="006F16A4" w14:paraId="7C8785D4" w14:textId="77777777" w:rsidTr="003E4C24">
        <w:tc>
          <w:tcPr>
            <w:tcW w:w="9350" w:type="dxa"/>
            <w:gridSpan w:val="4"/>
          </w:tcPr>
          <w:p w14:paraId="78897936" w14:textId="77777777" w:rsidR="006F16A4" w:rsidRDefault="006F16A4" w:rsidP="003E4C24">
            <w:r>
              <w:rPr>
                <w:b/>
                <w:bCs/>
              </w:rPr>
              <w:t>Describe the benefits that will be realized from this change:</w:t>
            </w:r>
          </w:p>
          <w:p w14:paraId="4CFC0CE5" w14:textId="23BE6336" w:rsidR="006F16A4" w:rsidRPr="00A5483E" w:rsidRDefault="006A1EC2" w:rsidP="003E4C24">
            <w:r w:rsidRPr="006A1EC2">
              <w:t>More accurate capacity accreditation for use-limited resources.</w:t>
            </w:r>
          </w:p>
        </w:tc>
      </w:tr>
      <w:tr w:rsidR="006F16A4" w14:paraId="1D29DB55" w14:textId="77777777" w:rsidTr="003E4C24">
        <w:tc>
          <w:tcPr>
            <w:tcW w:w="9350" w:type="dxa"/>
            <w:gridSpan w:val="4"/>
          </w:tcPr>
          <w:p w14:paraId="762611A5" w14:textId="77777777" w:rsidR="006F16A4" w:rsidRDefault="006F16A4" w:rsidP="003E4C24">
            <w:pPr>
              <w:rPr>
                <w:b/>
                <w:bCs/>
              </w:rPr>
            </w:pPr>
            <w:r>
              <w:rPr>
                <w:b/>
                <w:bCs/>
              </w:rPr>
              <w:t>Any data/information that would characterize the importance of the issue:</w:t>
            </w:r>
          </w:p>
          <w:p w14:paraId="2D7FDC0E" w14:textId="274188A5" w:rsidR="006F16A4" w:rsidRPr="00324C95" w:rsidRDefault="006A1EC2" w:rsidP="003E4C24">
            <w:r>
              <w:t>-</w:t>
            </w:r>
          </w:p>
        </w:tc>
      </w:tr>
    </w:tbl>
    <w:p w14:paraId="08CD1313" w14:textId="713C07A5" w:rsidR="00EE62E8" w:rsidRDefault="00EE62E8" w:rsidP="00EE62E8">
      <w:pPr>
        <w:rPr>
          <w:rFonts w:eastAsiaTheme="majorEastAsia"/>
        </w:rPr>
      </w:pPr>
    </w:p>
    <w:p w14:paraId="26FE36D6" w14:textId="77777777" w:rsidR="00EE62E8" w:rsidRDefault="00EE62E8">
      <w:pPr>
        <w:rPr>
          <w:rFonts w:eastAsiaTheme="majorEastAsia"/>
        </w:rPr>
      </w:pPr>
      <w:r>
        <w:rPr>
          <w:rFonts w:eastAsiaTheme="majorEastAsia"/>
        </w:rPr>
        <w:br w:type="page"/>
      </w:r>
    </w:p>
    <w:tbl>
      <w:tblPr>
        <w:tblStyle w:val="TableGrid"/>
        <w:tblW w:w="0" w:type="auto"/>
        <w:tblLook w:val="04A0" w:firstRow="1" w:lastRow="0" w:firstColumn="1" w:lastColumn="0" w:noHBand="0" w:noVBand="1"/>
      </w:tblPr>
      <w:tblGrid>
        <w:gridCol w:w="3116"/>
        <w:gridCol w:w="1559"/>
        <w:gridCol w:w="1558"/>
        <w:gridCol w:w="3117"/>
      </w:tblGrid>
      <w:tr w:rsidR="00EE62E8" w14:paraId="295F59A0" w14:textId="77777777" w:rsidTr="003E4C24">
        <w:tc>
          <w:tcPr>
            <w:tcW w:w="9350" w:type="dxa"/>
            <w:gridSpan w:val="4"/>
          </w:tcPr>
          <w:p w14:paraId="201038CA" w14:textId="127D4184" w:rsidR="00EE62E8" w:rsidRDefault="00EE62E8" w:rsidP="003E4C24">
            <w:pPr>
              <w:pStyle w:val="Heading1"/>
            </w:pPr>
            <w:bookmarkStart w:id="37" w:name="_Toc189746895"/>
            <w:bookmarkStart w:id="38" w:name="_Toc189840321"/>
            <w:r>
              <w:lastRenderedPageBreak/>
              <w:t>2024-CRF-00</w:t>
            </w:r>
            <w:r w:rsidR="002838AF">
              <w:t>4</w:t>
            </w:r>
            <w:r>
              <w:t xml:space="preserve"> / </w:t>
            </w:r>
            <w:r w:rsidR="002838AF">
              <w:t>APS</w:t>
            </w:r>
            <w:r>
              <w:t xml:space="preserve"> / </w:t>
            </w:r>
            <w:r w:rsidR="008576AA">
              <w:t>Day Ahead Market Optimization</w:t>
            </w:r>
            <w:bookmarkEnd w:id="37"/>
            <w:bookmarkEnd w:id="38"/>
          </w:p>
        </w:tc>
      </w:tr>
      <w:tr w:rsidR="00EE62E8" w14:paraId="20E29B54" w14:textId="77777777" w:rsidTr="003E4C24">
        <w:tc>
          <w:tcPr>
            <w:tcW w:w="3116" w:type="dxa"/>
          </w:tcPr>
          <w:p w14:paraId="49FE2A76" w14:textId="77777777" w:rsidR="00EE62E8" w:rsidRPr="00FD78B3" w:rsidRDefault="00EE62E8" w:rsidP="003E4C24">
            <w:pPr>
              <w:rPr>
                <w:b/>
                <w:bCs/>
                <w:color w:val="153D63" w:themeColor="text2" w:themeTint="E6"/>
              </w:rPr>
            </w:pPr>
            <w:r w:rsidRPr="00FD78B3">
              <w:rPr>
                <w:b/>
                <w:bCs/>
                <w:color w:val="153D63" w:themeColor="text2" w:themeTint="E6"/>
              </w:rPr>
              <w:t xml:space="preserve">WRAP Area: </w:t>
            </w:r>
          </w:p>
          <w:p w14:paraId="36AFDAD1" w14:textId="0D003591" w:rsidR="00EE62E8" w:rsidRPr="00FD78B3" w:rsidRDefault="00CB724D" w:rsidP="003E4C24">
            <w:pPr>
              <w:rPr>
                <w:color w:val="153D63" w:themeColor="text2" w:themeTint="E6"/>
              </w:rPr>
            </w:pPr>
            <w:r>
              <w:rPr>
                <w:color w:val="153D63" w:themeColor="text2" w:themeTint="E6"/>
              </w:rPr>
              <w:t>Operations Program</w:t>
            </w:r>
          </w:p>
        </w:tc>
        <w:tc>
          <w:tcPr>
            <w:tcW w:w="3117" w:type="dxa"/>
            <w:gridSpan w:val="2"/>
          </w:tcPr>
          <w:p w14:paraId="136A57A0" w14:textId="55D9D4EF" w:rsidR="00EE62E8" w:rsidRDefault="00C1275B" w:rsidP="003E4C24">
            <w:pPr>
              <w:rPr>
                <w:color w:val="153D63" w:themeColor="text2" w:themeTint="E6"/>
              </w:rPr>
            </w:pPr>
            <w:r>
              <w:rPr>
                <w:b/>
                <w:bCs/>
                <w:color w:val="153D63" w:themeColor="text2" w:themeTint="E6"/>
              </w:rPr>
              <w:t>Tariff</w:t>
            </w:r>
            <w:r w:rsidR="00EE62E8" w:rsidRPr="004E4785">
              <w:rPr>
                <w:b/>
                <w:bCs/>
                <w:color w:val="153D63" w:themeColor="text2" w:themeTint="E6"/>
              </w:rPr>
              <w:t xml:space="preserve"> Change</w:t>
            </w:r>
            <w:r w:rsidR="00EE62E8" w:rsidRPr="00FD78B3">
              <w:rPr>
                <w:color w:val="153D63" w:themeColor="text2" w:themeTint="E6"/>
              </w:rPr>
              <w:t>:</w:t>
            </w:r>
            <w:r w:rsidR="00EE62E8">
              <w:rPr>
                <w:color w:val="153D63" w:themeColor="text2" w:themeTint="E6"/>
              </w:rPr>
              <w:t xml:space="preserve"> </w:t>
            </w:r>
          </w:p>
          <w:p w14:paraId="71B0447A" w14:textId="791AC61C" w:rsidR="00EE62E8" w:rsidRPr="00FD78B3" w:rsidRDefault="00F04FDF" w:rsidP="003E4C24">
            <w:pPr>
              <w:rPr>
                <w:color w:val="153D63" w:themeColor="text2" w:themeTint="E6"/>
              </w:rPr>
            </w:pPr>
            <w:r>
              <w:rPr>
                <w:color w:val="153D63" w:themeColor="text2" w:themeTint="E6"/>
              </w:rPr>
              <w:t>No</w:t>
            </w:r>
          </w:p>
        </w:tc>
        <w:tc>
          <w:tcPr>
            <w:tcW w:w="3117" w:type="dxa"/>
          </w:tcPr>
          <w:p w14:paraId="123FF4BC" w14:textId="77777777" w:rsidR="00EE62E8" w:rsidRDefault="00EE62E8" w:rsidP="003E4C24">
            <w:pPr>
              <w:rPr>
                <w:b/>
                <w:bCs/>
                <w:color w:val="153D63" w:themeColor="text2" w:themeTint="E6"/>
              </w:rPr>
            </w:pPr>
            <w:r w:rsidRPr="004E4785">
              <w:rPr>
                <w:b/>
                <w:bCs/>
                <w:color w:val="153D63" w:themeColor="text2" w:themeTint="E6"/>
              </w:rPr>
              <w:t>Time Score:</w:t>
            </w:r>
          </w:p>
          <w:p w14:paraId="3A9C7FE1" w14:textId="6D4E2B28" w:rsidR="00EE62E8" w:rsidRPr="004E4785" w:rsidRDefault="00F04FDF" w:rsidP="003E4C24">
            <w:pPr>
              <w:rPr>
                <w:color w:val="153D63" w:themeColor="text2" w:themeTint="E6"/>
              </w:rPr>
            </w:pPr>
            <w:r>
              <w:rPr>
                <w:color w:val="153D63" w:themeColor="text2" w:themeTint="E6"/>
              </w:rPr>
              <w:t>Short</w:t>
            </w:r>
          </w:p>
        </w:tc>
      </w:tr>
      <w:tr w:rsidR="00EE62E8" w14:paraId="32D5C440" w14:textId="77777777" w:rsidTr="003E4C24">
        <w:tc>
          <w:tcPr>
            <w:tcW w:w="4675" w:type="dxa"/>
            <w:gridSpan w:val="2"/>
          </w:tcPr>
          <w:p w14:paraId="306DAF06" w14:textId="2981E349" w:rsidR="00EE62E8" w:rsidRDefault="00EE62E8" w:rsidP="003E4C24">
            <w:r w:rsidRPr="00016218">
              <w:rPr>
                <w:b/>
                <w:bCs/>
              </w:rPr>
              <w:t>Lead Sponsor</w:t>
            </w:r>
            <w:r>
              <w:t xml:space="preserve">: </w:t>
            </w:r>
            <w:r w:rsidR="00CB724D">
              <w:t>Brandon Holmes</w:t>
            </w:r>
          </w:p>
          <w:p w14:paraId="7AE033EC" w14:textId="2186A506" w:rsidR="00EE62E8" w:rsidRDefault="00CB724D" w:rsidP="003E4C24">
            <w:r>
              <w:t>brandon.holmes@aps.com</w:t>
            </w:r>
          </w:p>
        </w:tc>
        <w:tc>
          <w:tcPr>
            <w:tcW w:w="4675" w:type="dxa"/>
            <w:gridSpan w:val="2"/>
          </w:tcPr>
          <w:p w14:paraId="0634CE2A" w14:textId="77777777" w:rsidR="00EE62E8" w:rsidRPr="00651CDC" w:rsidRDefault="00EE62E8" w:rsidP="003E4C24">
            <w:r>
              <w:rPr>
                <w:b/>
                <w:bCs/>
              </w:rPr>
              <w:t xml:space="preserve">Co-Sponsor: </w:t>
            </w:r>
          </w:p>
        </w:tc>
      </w:tr>
      <w:tr w:rsidR="00EE62E8" w14:paraId="3D88608A" w14:textId="77777777" w:rsidTr="003E4C24">
        <w:tc>
          <w:tcPr>
            <w:tcW w:w="9350" w:type="dxa"/>
            <w:gridSpan w:val="4"/>
          </w:tcPr>
          <w:p w14:paraId="4DD69E6B" w14:textId="49A063D4" w:rsidR="00EE62E8" w:rsidRPr="00C329E4" w:rsidRDefault="00EE62E8" w:rsidP="003E4C24">
            <w:r w:rsidRPr="00F64D69">
              <w:rPr>
                <w:b/>
                <w:bCs/>
              </w:rPr>
              <w:t>Summary</w:t>
            </w:r>
            <w:r>
              <w:t xml:space="preserve">: </w:t>
            </w:r>
            <w:r w:rsidR="008E6DCE" w:rsidRPr="008E6DCE">
              <w:t>Day Ahead Market Optimization of the Operations Program Holdback</w:t>
            </w:r>
          </w:p>
        </w:tc>
      </w:tr>
      <w:tr w:rsidR="00EE62E8" w14:paraId="0CC58B02" w14:textId="77777777" w:rsidTr="003E4C24">
        <w:tc>
          <w:tcPr>
            <w:tcW w:w="9350" w:type="dxa"/>
            <w:gridSpan w:val="4"/>
          </w:tcPr>
          <w:p w14:paraId="767CF73A" w14:textId="77777777" w:rsidR="008E6DCE" w:rsidRDefault="00EE62E8" w:rsidP="008E6DCE">
            <w:pPr>
              <w:rPr>
                <w:b/>
                <w:bCs/>
              </w:rPr>
            </w:pPr>
            <w:r>
              <w:rPr>
                <w:b/>
                <w:bCs/>
              </w:rPr>
              <w:t xml:space="preserve">Description of the issue: </w:t>
            </w:r>
          </w:p>
          <w:p w14:paraId="33EC56AA" w14:textId="4F620674" w:rsidR="00EE62E8" w:rsidRPr="008E6DCE" w:rsidRDefault="008E6DCE" w:rsidP="003E4C24">
            <w:pPr>
              <w:rPr>
                <w:b/>
                <w:bCs/>
              </w:rPr>
            </w:pPr>
            <w:r w:rsidRPr="008E6DCE">
              <w:t>Enhancing the Ops Program to be compatible, both in rules and technology (i.e. APIs), with both EDAM and Markets+ as it was originally designed with bilateral day ahead markets in mind. </w:t>
            </w:r>
          </w:p>
        </w:tc>
      </w:tr>
      <w:tr w:rsidR="00EE62E8" w14:paraId="7AA809BE" w14:textId="77777777" w:rsidTr="003E4C24">
        <w:tc>
          <w:tcPr>
            <w:tcW w:w="9350" w:type="dxa"/>
            <w:gridSpan w:val="4"/>
          </w:tcPr>
          <w:p w14:paraId="117277A3" w14:textId="77777777" w:rsidR="00EE62E8" w:rsidRDefault="00EE62E8" w:rsidP="003E4C24">
            <w:r>
              <w:rPr>
                <w:b/>
                <w:bCs/>
              </w:rPr>
              <w:t xml:space="preserve">Proposed solution to the issue described: </w:t>
            </w:r>
          </w:p>
          <w:p w14:paraId="64EF1B73" w14:textId="77777777" w:rsidR="00910355" w:rsidRPr="00910355" w:rsidRDefault="00910355" w:rsidP="00910355">
            <w:r w:rsidRPr="00910355">
              <w:t>Must-offer and holdback optimization in Markets+. Markets+ protocols are drafted in such a way that the Ops Program for Participants who are in Markets+ can be enhanced by coordinating holdback through the Must-Offer and DA Market solution. </w:t>
            </w:r>
          </w:p>
          <w:p w14:paraId="2C1755AF" w14:textId="77777777" w:rsidR="00910355" w:rsidRDefault="00910355" w:rsidP="00910355"/>
          <w:p w14:paraId="6F646C9F" w14:textId="587C1C88" w:rsidR="00EE62E8" w:rsidRPr="00AB7637" w:rsidRDefault="00910355" w:rsidP="003E4C24">
            <w:r w:rsidRPr="00910355">
              <w:t>In EDAM, create the ability for Participants to properly represent Holdback in the DA Resource Sufficiency Evaluation.</w:t>
            </w:r>
          </w:p>
        </w:tc>
      </w:tr>
      <w:tr w:rsidR="00EE62E8" w14:paraId="32C86277" w14:textId="77777777" w:rsidTr="003E4C24">
        <w:tc>
          <w:tcPr>
            <w:tcW w:w="9350" w:type="dxa"/>
            <w:gridSpan w:val="4"/>
          </w:tcPr>
          <w:p w14:paraId="1B8AB324" w14:textId="77777777" w:rsidR="00EE62E8" w:rsidRDefault="00EE62E8" w:rsidP="003E4C24">
            <w:pPr>
              <w:rPr>
                <w:b/>
                <w:bCs/>
              </w:rPr>
            </w:pPr>
            <w:r>
              <w:rPr>
                <w:b/>
                <w:bCs/>
              </w:rPr>
              <w:t>Specific document and language you would like changed:</w:t>
            </w:r>
          </w:p>
          <w:p w14:paraId="33071BF5" w14:textId="2C5F76E8" w:rsidR="00EE62E8" w:rsidRPr="003E595A" w:rsidRDefault="00910355" w:rsidP="003E4C24">
            <w:r>
              <w:t>-</w:t>
            </w:r>
          </w:p>
        </w:tc>
      </w:tr>
      <w:tr w:rsidR="00EE62E8" w14:paraId="716ED1EA" w14:textId="77777777" w:rsidTr="003E4C24">
        <w:tc>
          <w:tcPr>
            <w:tcW w:w="9350" w:type="dxa"/>
            <w:gridSpan w:val="4"/>
          </w:tcPr>
          <w:p w14:paraId="4C764E9D" w14:textId="77777777" w:rsidR="00EE62E8" w:rsidRDefault="00EE62E8" w:rsidP="003E4C24">
            <w:pPr>
              <w:rPr>
                <w:b/>
                <w:bCs/>
              </w:rPr>
            </w:pPr>
            <w:r>
              <w:rPr>
                <w:b/>
                <w:bCs/>
              </w:rPr>
              <w:t xml:space="preserve">Suggestion for how language could be updated to address </w:t>
            </w:r>
            <w:proofErr w:type="gramStart"/>
            <w:r>
              <w:rPr>
                <w:b/>
                <w:bCs/>
              </w:rPr>
              <w:t>issue</w:t>
            </w:r>
            <w:proofErr w:type="gramEnd"/>
            <w:r>
              <w:rPr>
                <w:b/>
                <w:bCs/>
              </w:rPr>
              <w:t>:</w:t>
            </w:r>
          </w:p>
          <w:p w14:paraId="71B2BFA3" w14:textId="65617287" w:rsidR="00EE62E8" w:rsidRPr="004A50B4" w:rsidRDefault="00910355" w:rsidP="003E4C24">
            <w:r>
              <w:t>-</w:t>
            </w:r>
          </w:p>
        </w:tc>
      </w:tr>
      <w:tr w:rsidR="00EE62E8" w14:paraId="1C9B7382" w14:textId="77777777" w:rsidTr="003E4C24">
        <w:tc>
          <w:tcPr>
            <w:tcW w:w="9350" w:type="dxa"/>
            <w:gridSpan w:val="4"/>
          </w:tcPr>
          <w:p w14:paraId="4377E808" w14:textId="77777777" w:rsidR="00EE62E8" w:rsidRDefault="00EE62E8" w:rsidP="003E4C24">
            <w:r>
              <w:rPr>
                <w:b/>
                <w:bCs/>
              </w:rPr>
              <w:t>Describe the benefits that will be realized from this change:</w:t>
            </w:r>
          </w:p>
          <w:p w14:paraId="6A0D55A4" w14:textId="79D58487" w:rsidR="00EE62E8" w:rsidRPr="00A5483E" w:rsidRDefault="00910355" w:rsidP="003E4C24">
            <w:r w:rsidRPr="00910355">
              <w:t>Optimization of WRAP transactions in both EDAM and Markets+.</w:t>
            </w:r>
          </w:p>
        </w:tc>
      </w:tr>
      <w:tr w:rsidR="00EE62E8" w14:paraId="4139700F" w14:textId="77777777" w:rsidTr="003E4C24">
        <w:tc>
          <w:tcPr>
            <w:tcW w:w="9350" w:type="dxa"/>
            <w:gridSpan w:val="4"/>
          </w:tcPr>
          <w:p w14:paraId="12AB1088" w14:textId="77777777" w:rsidR="00EE62E8" w:rsidRDefault="00EE62E8" w:rsidP="003E4C24">
            <w:pPr>
              <w:rPr>
                <w:b/>
                <w:bCs/>
              </w:rPr>
            </w:pPr>
            <w:r>
              <w:rPr>
                <w:b/>
                <w:bCs/>
              </w:rPr>
              <w:t>Any data/information that would characterize the importance of the issue:</w:t>
            </w:r>
          </w:p>
          <w:p w14:paraId="52BC563F" w14:textId="77777777" w:rsidR="00F91AB6" w:rsidRDefault="00CD2053" w:rsidP="00AC47E4">
            <w:r w:rsidRPr="00CD2053">
              <w:t>Please find the attached protocols for the Must-Offer from Markets+ Section 4.2.1.</w:t>
            </w:r>
          </w:p>
          <w:p w14:paraId="47A5DDC3" w14:textId="3EA5C20D" w:rsidR="00AC47E4" w:rsidRPr="00BE542F" w:rsidRDefault="00BE542F" w:rsidP="00AC47E4">
            <w:pPr>
              <w:rPr>
                <w:color w:val="153D63" w:themeColor="text2" w:themeTint="E6"/>
              </w:rPr>
            </w:pPr>
            <w:r>
              <w:rPr>
                <w:color w:val="153D63" w:themeColor="text2" w:themeTint="E6"/>
              </w:rPr>
              <w:t>Se</w:t>
            </w:r>
            <w:r w:rsidRPr="00BE542F">
              <w:rPr>
                <w:color w:val="153D63" w:themeColor="text2" w:themeTint="E6"/>
              </w:rPr>
              <w:t xml:space="preserve">e </w:t>
            </w:r>
            <w:r w:rsidRPr="00BE542F">
              <w:rPr>
                <w:color w:val="153D63" w:themeColor="text2" w:themeTint="E6"/>
              </w:rPr>
              <w:fldChar w:fldCharType="begin"/>
            </w:r>
            <w:r w:rsidRPr="00BE542F">
              <w:rPr>
                <w:color w:val="153D63" w:themeColor="text2" w:themeTint="E6"/>
              </w:rPr>
              <w:instrText xml:space="preserve"> REF _Ref186795454 \h </w:instrText>
            </w:r>
            <w:r w:rsidRPr="00BE542F">
              <w:rPr>
                <w:color w:val="153D63" w:themeColor="text2" w:themeTint="E6"/>
              </w:rPr>
            </w:r>
            <w:r w:rsidRPr="00BE542F">
              <w:rPr>
                <w:color w:val="153D63" w:themeColor="text2" w:themeTint="E6"/>
              </w:rPr>
              <w:fldChar w:fldCharType="separate"/>
            </w:r>
            <w:r w:rsidR="00114611">
              <w:t>Appendix A</w:t>
            </w:r>
            <w:r w:rsidRPr="00BE542F">
              <w:rPr>
                <w:color w:val="153D63" w:themeColor="text2" w:themeTint="E6"/>
              </w:rPr>
              <w:fldChar w:fldCharType="end"/>
            </w:r>
          </w:p>
        </w:tc>
      </w:tr>
    </w:tbl>
    <w:p w14:paraId="2A8F9A19" w14:textId="77777777" w:rsidR="00E12345" w:rsidRDefault="00E12345">
      <w:pPr>
        <w:rPr>
          <w:rFonts w:eastAsiaTheme="majorEastAsia"/>
        </w:rPr>
      </w:pPr>
      <w:r>
        <w:rPr>
          <w:rFonts w:eastAsiaTheme="majorEastAsia"/>
        </w:rPr>
        <w:br w:type="page"/>
      </w:r>
    </w:p>
    <w:tbl>
      <w:tblPr>
        <w:tblStyle w:val="TableGrid"/>
        <w:tblW w:w="0" w:type="auto"/>
        <w:tblLook w:val="04A0" w:firstRow="1" w:lastRow="0" w:firstColumn="1" w:lastColumn="0" w:noHBand="0" w:noVBand="1"/>
      </w:tblPr>
      <w:tblGrid>
        <w:gridCol w:w="3116"/>
        <w:gridCol w:w="1559"/>
        <w:gridCol w:w="1558"/>
        <w:gridCol w:w="3117"/>
      </w:tblGrid>
      <w:tr w:rsidR="00E12345" w14:paraId="06D98F7A" w14:textId="77777777" w:rsidTr="003E4C24">
        <w:tc>
          <w:tcPr>
            <w:tcW w:w="9350" w:type="dxa"/>
            <w:gridSpan w:val="4"/>
          </w:tcPr>
          <w:p w14:paraId="6E1716FB" w14:textId="49B954E5" w:rsidR="00E12345" w:rsidRDefault="00E12345" w:rsidP="003E4C24">
            <w:pPr>
              <w:pStyle w:val="Heading1"/>
            </w:pPr>
            <w:bookmarkStart w:id="39" w:name="_Toc189746896"/>
            <w:bookmarkStart w:id="40" w:name="_Toc189840322"/>
            <w:r>
              <w:lastRenderedPageBreak/>
              <w:t>2024-CRF-00</w:t>
            </w:r>
            <w:r w:rsidR="00573260">
              <w:t>5</w:t>
            </w:r>
            <w:r>
              <w:t xml:space="preserve"> / </w:t>
            </w:r>
            <w:r w:rsidR="00573260">
              <w:t>APS</w:t>
            </w:r>
            <w:r>
              <w:t xml:space="preserve"> / </w:t>
            </w:r>
            <w:r w:rsidR="00451185">
              <w:t xml:space="preserve">Load Growth </w:t>
            </w:r>
            <w:r w:rsidR="006D7342">
              <w:t>Factor</w:t>
            </w:r>
            <w:bookmarkEnd w:id="39"/>
            <w:bookmarkEnd w:id="40"/>
          </w:p>
        </w:tc>
      </w:tr>
      <w:tr w:rsidR="00E12345" w14:paraId="7E8112C0" w14:textId="77777777" w:rsidTr="003E4C24">
        <w:tc>
          <w:tcPr>
            <w:tcW w:w="3116" w:type="dxa"/>
          </w:tcPr>
          <w:p w14:paraId="6361EB33" w14:textId="77777777" w:rsidR="00E12345" w:rsidRPr="00FD78B3" w:rsidRDefault="00E12345" w:rsidP="003E4C24">
            <w:pPr>
              <w:rPr>
                <w:b/>
                <w:bCs/>
                <w:color w:val="153D63" w:themeColor="text2" w:themeTint="E6"/>
              </w:rPr>
            </w:pPr>
            <w:r w:rsidRPr="00FD78B3">
              <w:rPr>
                <w:b/>
                <w:bCs/>
                <w:color w:val="153D63" w:themeColor="text2" w:themeTint="E6"/>
              </w:rPr>
              <w:t xml:space="preserve">WRAP Area: </w:t>
            </w:r>
          </w:p>
          <w:p w14:paraId="3E88DFFD" w14:textId="6A16B938" w:rsidR="00E12345" w:rsidRPr="00FD78B3" w:rsidRDefault="007F1922" w:rsidP="003E4C24">
            <w:pPr>
              <w:rPr>
                <w:color w:val="153D63" w:themeColor="text2" w:themeTint="E6"/>
              </w:rPr>
            </w:pPr>
            <w:r>
              <w:rPr>
                <w:color w:val="153D63" w:themeColor="text2" w:themeTint="E6"/>
              </w:rPr>
              <w:t>FS Capacity Requirement</w:t>
            </w:r>
          </w:p>
        </w:tc>
        <w:tc>
          <w:tcPr>
            <w:tcW w:w="3117" w:type="dxa"/>
            <w:gridSpan w:val="2"/>
          </w:tcPr>
          <w:p w14:paraId="2405CC4C" w14:textId="19343FFC" w:rsidR="00E12345" w:rsidRDefault="00C1275B" w:rsidP="003E4C24">
            <w:pPr>
              <w:rPr>
                <w:color w:val="153D63" w:themeColor="text2" w:themeTint="E6"/>
              </w:rPr>
            </w:pPr>
            <w:r>
              <w:rPr>
                <w:b/>
                <w:bCs/>
                <w:color w:val="153D63" w:themeColor="text2" w:themeTint="E6"/>
              </w:rPr>
              <w:t>Tariff</w:t>
            </w:r>
            <w:r w:rsidR="00E12345" w:rsidRPr="004E4785">
              <w:rPr>
                <w:b/>
                <w:bCs/>
                <w:color w:val="153D63" w:themeColor="text2" w:themeTint="E6"/>
              </w:rPr>
              <w:t xml:space="preserve"> Change</w:t>
            </w:r>
            <w:r w:rsidR="00E12345" w:rsidRPr="00FD78B3">
              <w:rPr>
                <w:color w:val="153D63" w:themeColor="text2" w:themeTint="E6"/>
              </w:rPr>
              <w:t>:</w:t>
            </w:r>
            <w:r w:rsidR="00E12345">
              <w:rPr>
                <w:color w:val="153D63" w:themeColor="text2" w:themeTint="E6"/>
              </w:rPr>
              <w:t xml:space="preserve"> </w:t>
            </w:r>
          </w:p>
          <w:p w14:paraId="0D7B3BDB" w14:textId="1BCDCBA7" w:rsidR="00E12345" w:rsidRPr="00FD78B3" w:rsidRDefault="001E1A2B" w:rsidP="003E4C24">
            <w:pPr>
              <w:rPr>
                <w:color w:val="153D63" w:themeColor="text2" w:themeTint="E6"/>
              </w:rPr>
            </w:pPr>
            <w:r>
              <w:rPr>
                <w:color w:val="153D63" w:themeColor="text2" w:themeTint="E6"/>
              </w:rPr>
              <w:t>No</w:t>
            </w:r>
          </w:p>
        </w:tc>
        <w:tc>
          <w:tcPr>
            <w:tcW w:w="3117" w:type="dxa"/>
          </w:tcPr>
          <w:p w14:paraId="4BB3F588" w14:textId="77777777" w:rsidR="00E12345" w:rsidRDefault="00E12345" w:rsidP="003E4C24">
            <w:pPr>
              <w:rPr>
                <w:b/>
                <w:bCs/>
                <w:color w:val="153D63" w:themeColor="text2" w:themeTint="E6"/>
              </w:rPr>
            </w:pPr>
            <w:r w:rsidRPr="004E4785">
              <w:rPr>
                <w:b/>
                <w:bCs/>
                <w:color w:val="153D63" w:themeColor="text2" w:themeTint="E6"/>
              </w:rPr>
              <w:t>Time Score:</w:t>
            </w:r>
          </w:p>
          <w:p w14:paraId="51DF4C5B" w14:textId="2FC23D58" w:rsidR="00E12345" w:rsidRPr="004E4785" w:rsidRDefault="001E1A2B" w:rsidP="003E4C24">
            <w:pPr>
              <w:rPr>
                <w:color w:val="153D63" w:themeColor="text2" w:themeTint="E6"/>
              </w:rPr>
            </w:pPr>
            <w:r>
              <w:rPr>
                <w:color w:val="153D63" w:themeColor="text2" w:themeTint="E6"/>
              </w:rPr>
              <w:t>Long</w:t>
            </w:r>
          </w:p>
        </w:tc>
      </w:tr>
      <w:tr w:rsidR="00E12345" w14:paraId="58F93036" w14:textId="77777777" w:rsidTr="003E4C24">
        <w:tc>
          <w:tcPr>
            <w:tcW w:w="4675" w:type="dxa"/>
            <w:gridSpan w:val="2"/>
          </w:tcPr>
          <w:p w14:paraId="38B94BD5" w14:textId="6B4CED59" w:rsidR="00E12345" w:rsidRDefault="00E12345" w:rsidP="003E4C24">
            <w:r w:rsidRPr="00016218">
              <w:rPr>
                <w:b/>
                <w:bCs/>
              </w:rPr>
              <w:t>Lead Sponsor</w:t>
            </w:r>
            <w:r>
              <w:t xml:space="preserve">: </w:t>
            </w:r>
            <w:r w:rsidR="00845AC9">
              <w:t>Brandon Holmes</w:t>
            </w:r>
          </w:p>
          <w:p w14:paraId="379EFC6D" w14:textId="0827880F" w:rsidR="00E12345" w:rsidRDefault="00845AC9" w:rsidP="003E4C24">
            <w:r>
              <w:t>brandon.holmes@aps.com</w:t>
            </w:r>
          </w:p>
        </w:tc>
        <w:tc>
          <w:tcPr>
            <w:tcW w:w="4675" w:type="dxa"/>
            <w:gridSpan w:val="2"/>
          </w:tcPr>
          <w:p w14:paraId="6946B777" w14:textId="4097977E" w:rsidR="00E12345" w:rsidRPr="00651CDC" w:rsidRDefault="00E12345" w:rsidP="003E4C24">
            <w:r>
              <w:rPr>
                <w:b/>
                <w:bCs/>
              </w:rPr>
              <w:t>Co-Sponsor:</w:t>
            </w:r>
            <w:r w:rsidR="00061FE0" w:rsidRPr="00061FE0">
              <w:rPr>
                <w:color w:val="215E99" w:themeColor="text2" w:themeTint="BF"/>
              </w:rPr>
              <w:t xml:space="preserve"> </w:t>
            </w:r>
            <w:r w:rsidR="00061FE0" w:rsidRPr="00061FE0">
              <w:rPr>
                <w:color w:val="153D63" w:themeColor="text2" w:themeTint="E6"/>
              </w:rPr>
              <w:t>EWEB</w:t>
            </w:r>
            <w:r w:rsidRPr="00061FE0">
              <w:rPr>
                <w:b/>
                <w:bCs/>
                <w:color w:val="215E99" w:themeColor="text2" w:themeTint="BF"/>
              </w:rPr>
              <w:t xml:space="preserve"> </w:t>
            </w:r>
          </w:p>
        </w:tc>
      </w:tr>
      <w:tr w:rsidR="00E12345" w14:paraId="3581CA0B" w14:textId="77777777" w:rsidTr="003E4C24">
        <w:tc>
          <w:tcPr>
            <w:tcW w:w="9350" w:type="dxa"/>
            <w:gridSpan w:val="4"/>
          </w:tcPr>
          <w:p w14:paraId="6ABB7B9B" w14:textId="4878F8DC" w:rsidR="00E12345" w:rsidRPr="00C329E4" w:rsidRDefault="00E12345" w:rsidP="003E4C24">
            <w:r w:rsidRPr="00F64D69">
              <w:rPr>
                <w:b/>
                <w:bCs/>
              </w:rPr>
              <w:t>Summary</w:t>
            </w:r>
            <w:r>
              <w:t xml:space="preserve">: </w:t>
            </w:r>
            <w:r w:rsidR="00845AC9">
              <w:t>Load Forecast</w:t>
            </w:r>
          </w:p>
        </w:tc>
      </w:tr>
      <w:tr w:rsidR="00E12345" w14:paraId="1E71E1A7" w14:textId="77777777" w:rsidTr="003E4C24">
        <w:tc>
          <w:tcPr>
            <w:tcW w:w="9350" w:type="dxa"/>
            <w:gridSpan w:val="4"/>
          </w:tcPr>
          <w:p w14:paraId="25E66F20" w14:textId="77777777" w:rsidR="00EE4966" w:rsidRDefault="00E12345" w:rsidP="003E4C24">
            <w:pPr>
              <w:rPr>
                <w:b/>
                <w:bCs/>
              </w:rPr>
            </w:pPr>
            <w:r>
              <w:rPr>
                <w:b/>
                <w:bCs/>
              </w:rPr>
              <w:t xml:space="preserve">Description of the issue: </w:t>
            </w:r>
          </w:p>
          <w:p w14:paraId="4F30CE94" w14:textId="1F80A92A" w:rsidR="00E12345" w:rsidRPr="00A1769E" w:rsidRDefault="00EE4966" w:rsidP="003E4C24">
            <w:r w:rsidRPr="00EE4966">
              <w:t>The WRAP-wide established growth rate of 1.1% for the P50 Peak Load Forecast could be enhanced to capture the differences in expected load growth between the various WRAP participants. An inaccurate load growth rate will misinform the actual resource adequacy needs of the region, thereby degrading the effectiveness of the WRAP.</w:t>
            </w:r>
          </w:p>
        </w:tc>
      </w:tr>
      <w:tr w:rsidR="00E12345" w14:paraId="00619295" w14:textId="77777777" w:rsidTr="003E4C24">
        <w:tc>
          <w:tcPr>
            <w:tcW w:w="9350" w:type="dxa"/>
            <w:gridSpan w:val="4"/>
          </w:tcPr>
          <w:p w14:paraId="11EA8E00" w14:textId="77777777" w:rsidR="00E12345" w:rsidRDefault="00E12345" w:rsidP="003E4C24">
            <w:r>
              <w:rPr>
                <w:b/>
                <w:bCs/>
              </w:rPr>
              <w:t xml:space="preserve">Proposed solution to the issue described: </w:t>
            </w:r>
          </w:p>
          <w:p w14:paraId="6E5650AB" w14:textId="1441E150" w:rsidR="00E12345" w:rsidRPr="00AB7637" w:rsidRDefault="00EE4966" w:rsidP="003E4C24">
            <w:r>
              <w:t>-</w:t>
            </w:r>
          </w:p>
        </w:tc>
      </w:tr>
      <w:tr w:rsidR="00E12345" w14:paraId="217406E5" w14:textId="77777777" w:rsidTr="003E4C24">
        <w:tc>
          <w:tcPr>
            <w:tcW w:w="9350" w:type="dxa"/>
            <w:gridSpan w:val="4"/>
          </w:tcPr>
          <w:p w14:paraId="3A410551" w14:textId="77777777" w:rsidR="00E12345" w:rsidRDefault="00E12345" w:rsidP="003E4C24">
            <w:pPr>
              <w:rPr>
                <w:b/>
                <w:bCs/>
              </w:rPr>
            </w:pPr>
            <w:r>
              <w:rPr>
                <w:b/>
                <w:bCs/>
              </w:rPr>
              <w:t>Specific document and language you would like changed:</w:t>
            </w:r>
          </w:p>
          <w:p w14:paraId="6B75CE30" w14:textId="3E6D86DD" w:rsidR="00E12345" w:rsidRPr="003E595A" w:rsidRDefault="00EE4966" w:rsidP="003E4C24">
            <w:r>
              <w:t>-</w:t>
            </w:r>
          </w:p>
        </w:tc>
      </w:tr>
      <w:tr w:rsidR="00E12345" w14:paraId="6CE0C9AA" w14:textId="77777777" w:rsidTr="003E4C24">
        <w:tc>
          <w:tcPr>
            <w:tcW w:w="9350" w:type="dxa"/>
            <w:gridSpan w:val="4"/>
          </w:tcPr>
          <w:p w14:paraId="7B39319D" w14:textId="77777777" w:rsidR="00E12345" w:rsidRDefault="00E12345" w:rsidP="003E4C24">
            <w:pPr>
              <w:rPr>
                <w:b/>
                <w:bCs/>
              </w:rPr>
            </w:pPr>
            <w:r>
              <w:rPr>
                <w:b/>
                <w:bCs/>
              </w:rPr>
              <w:t xml:space="preserve">Suggestion for how language could be updated to address </w:t>
            </w:r>
            <w:proofErr w:type="gramStart"/>
            <w:r>
              <w:rPr>
                <w:b/>
                <w:bCs/>
              </w:rPr>
              <w:t>issue</w:t>
            </w:r>
            <w:proofErr w:type="gramEnd"/>
            <w:r>
              <w:rPr>
                <w:b/>
                <w:bCs/>
              </w:rPr>
              <w:t>:</w:t>
            </w:r>
          </w:p>
          <w:p w14:paraId="5C315D9A" w14:textId="0ADBAD19" w:rsidR="00E12345" w:rsidRPr="004A50B4" w:rsidRDefault="00EE4966" w:rsidP="003E4C24">
            <w:r>
              <w:t>-</w:t>
            </w:r>
          </w:p>
        </w:tc>
      </w:tr>
      <w:tr w:rsidR="00E12345" w14:paraId="582D885D" w14:textId="77777777" w:rsidTr="003E4C24">
        <w:tc>
          <w:tcPr>
            <w:tcW w:w="9350" w:type="dxa"/>
            <w:gridSpan w:val="4"/>
          </w:tcPr>
          <w:p w14:paraId="06A56E1B" w14:textId="77777777" w:rsidR="00E12345" w:rsidRDefault="00E12345" w:rsidP="003E4C24">
            <w:r>
              <w:rPr>
                <w:b/>
                <w:bCs/>
              </w:rPr>
              <w:t>Describe the benefits that will be realized from this change:</w:t>
            </w:r>
          </w:p>
          <w:p w14:paraId="137DB24A" w14:textId="51F66CF8" w:rsidR="00E12345" w:rsidRPr="00A5483E" w:rsidRDefault="00EE4966" w:rsidP="003E4C24">
            <w:r w:rsidRPr="00EE4966">
              <w:t>More accurate P50 load forecasting will better inform the regional and participant-specific resource adequacy needs into the future. Having an objective 3</w:t>
            </w:r>
            <w:r w:rsidRPr="00EE4966">
              <w:rPr>
                <w:vertAlign w:val="superscript"/>
              </w:rPr>
              <w:t>rd</w:t>
            </w:r>
            <w:r w:rsidRPr="00EE4966">
              <w:t> party to determine the forecast could alleviate concerns of participant bias while also working towards the most accurate forecast for each participant. </w:t>
            </w:r>
          </w:p>
        </w:tc>
      </w:tr>
      <w:tr w:rsidR="00E12345" w14:paraId="3A640789" w14:textId="77777777" w:rsidTr="003E4C24">
        <w:tc>
          <w:tcPr>
            <w:tcW w:w="9350" w:type="dxa"/>
            <w:gridSpan w:val="4"/>
          </w:tcPr>
          <w:p w14:paraId="65D53C90" w14:textId="77777777" w:rsidR="00E12345" w:rsidRDefault="00E12345" w:rsidP="003E4C24">
            <w:pPr>
              <w:rPr>
                <w:b/>
                <w:bCs/>
              </w:rPr>
            </w:pPr>
            <w:r>
              <w:rPr>
                <w:b/>
                <w:bCs/>
              </w:rPr>
              <w:t>Any data/information that would characterize the importance of the issue:</w:t>
            </w:r>
          </w:p>
          <w:p w14:paraId="408145EA" w14:textId="3C70C1D3" w:rsidR="00E12345" w:rsidRPr="00324C95" w:rsidRDefault="006008A2" w:rsidP="003E4C24">
            <w:r w:rsidRPr="006008A2">
              <w:t>Naturally any standard growth rate applied to the WRAP footprint or to a specific participant is just a forecast, but there could be hidden issues within sub-regions or individual states that could necessitate having more granular growth rates than footprint wide. </w:t>
            </w:r>
          </w:p>
        </w:tc>
      </w:tr>
    </w:tbl>
    <w:p w14:paraId="6C3A7F3E" w14:textId="78BC50F9" w:rsidR="00573260" w:rsidRDefault="00573260" w:rsidP="00EE62E8">
      <w:pPr>
        <w:rPr>
          <w:rFonts w:eastAsiaTheme="majorEastAsia"/>
        </w:rPr>
      </w:pPr>
    </w:p>
    <w:p w14:paraId="6B7B4BE7" w14:textId="77777777" w:rsidR="00573260" w:rsidRDefault="00573260">
      <w:pPr>
        <w:rPr>
          <w:rFonts w:eastAsiaTheme="majorEastAsia"/>
        </w:rPr>
      </w:pPr>
      <w:r>
        <w:rPr>
          <w:rFonts w:eastAsiaTheme="majorEastAsia"/>
        </w:rPr>
        <w:br w:type="page"/>
      </w:r>
    </w:p>
    <w:tbl>
      <w:tblPr>
        <w:tblStyle w:val="TableGrid"/>
        <w:tblW w:w="0" w:type="auto"/>
        <w:tblLook w:val="04A0" w:firstRow="1" w:lastRow="0" w:firstColumn="1" w:lastColumn="0" w:noHBand="0" w:noVBand="1"/>
      </w:tblPr>
      <w:tblGrid>
        <w:gridCol w:w="3415"/>
        <w:gridCol w:w="1260"/>
        <w:gridCol w:w="1558"/>
        <w:gridCol w:w="3117"/>
      </w:tblGrid>
      <w:tr w:rsidR="00573260" w14:paraId="3D9C9136" w14:textId="77777777" w:rsidTr="003E4C24">
        <w:tc>
          <w:tcPr>
            <w:tcW w:w="9350" w:type="dxa"/>
            <w:gridSpan w:val="4"/>
          </w:tcPr>
          <w:p w14:paraId="0E6B18A1" w14:textId="119FD0FC" w:rsidR="00573260" w:rsidRDefault="00573260" w:rsidP="003E4C24">
            <w:pPr>
              <w:pStyle w:val="Heading1"/>
            </w:pPr>
            <w:bookmarkStart w:id="41" w:name="_Toc189746897"/>
            <w:bookmarkStart w:id="42" w:name="_Toc189840323"/>
            <w:r>
              <w:lastRenderedPageBreak/>
              <w:t>2024-CRF-00</w:t>
            </w:r>
            <w:r w:rsidR="00EF2CE2">
              <w:t>8</w:t>
            </w:r>
            <w:r>
              <w:t xml:space="preserve"> / </w:t>
            </w:r>
            <w:r w:rsidR="00EF2CE2">
              <w:t>SRP</w:t>
            </w:r>
            <w:r>
              <w:t xml:space="preserve"> / </w:t>
            </w:r>
            <w:r w:rsidR="00BB349E">
              <w:t>CAISO Firm Transmission</w:t>
            </w:r>
            <w:bookmarkEnd w:id="41"/>
            <w:bookmarkEnd w:id="42"/>
          </w:p>
        </w:tc>
      </w:tr>
      <w:tr w:rsidR="00573260" w14:paraId="47C22A49" w14:textId="77777777" w:rsidTr="00BF5913">
        <w:tc>
          <w:tcPr>
            <w:tcW w:w="3415" w:type="dxa"/>
          </w:tcPr>
          <w:p w14:paraId="3A7B8B5A" w14:textId="77777777" w:rsidR="00573260" w:rsidRPr="00FD78B3" w:rsidRDefault="00573260" w:rsidP="003E4C24">
            <w:pPr>
              <w:rPr>
                <w:b/>
                <w:bCs/>
                <w:color w:val="153D63" w:themeColor="text2" w:themeTint="E6"/>
              </w:rPr>
            </w:pPr>
            <w:r w:rsidRPr="00FD78B3">
              <w:rPr>
                <w:b/>
                <w:bCs/>
                <w:color w:val="153D63" w:themeColor="text2" w:themeTint="E6"/>
              </w:rPr>
              <w:t xml:space="preserve">WRAP Area: </w:t>
            </w:r>
          </w:p>
          <w:p w14:paraId="309DC128" w14:textId="1AEA6F99" w:rsidR="00573260" w:rsidRPr="00FD78B3" w:rsidRDefault="00BF5913" w:rsidP="003E4C24">
            <w:pPr>
              <w:rPr>
                <w:color w:val="153D63" w:themeColor="text2" w:themeTint="E6"/>
              </w:rPr>
            </w:pPr>
            <w:r>
              <w:rPr>
                <w:color w:val="153D63" w:themeColor="text2" w:themeTint="E6"/>
              </w:rPr>
              <w:t>FS Transmission Requirement</w:t>
            </w:r>
          </w:p>
        </w:tc>
        <w:tc>
          <w:tcPr>
            <w:tcW w:w="2818" w:type="dxa"/>
            <w:gridSpan w:val="2"/>
          </w:tcPr>
          <w:p w14:paraId="2F07DD9F" w14:textId="5941B695" w:rsidR="00573260" w:rsidRDefault="00C1275B" w:rsidP="003E4C24">
            <w:pPr>
              <w:rPr>
                <w:color w:val="153D63" w:themeColor="text2" w:themeTint="E6"/>
              </w:rPr>
            </w:pPr>
            <w:r>
              <w:rPr>
                <w:b/>
                <w:bCs/>
                <w:color w:val="153D63" w:themeColor="text2" w:themeTint="E6"/>
              </w:rPr>
              <w:t>Tariff</w:t>
            </w:r>
            <w:r w:rsidR="00573260" w:rsidRPr="004E4785">
              <w:rPr>
                <w:b/>
                <w:bCs/>
                <w:color w:val="153D63" w:themeColor="text2" w:themeTint="E6"/>
              </w:rPr>
              <w:t xml:space="preserve"> Change</w:t>
            </w:r>
            <w:r w:rsidR="00573260" w:rsidRPr="00FD78B3">
              <w:rPr>
                <w:color w:val="153D63" w:themeColor="text2" w:themeTint="E6"/>
              </w:rPr>
              <w:t>:</w:t>
            </w:r>
            <w:r w:rsidR="00573260">
              <w:rPr>
                <w:color w:val="153D63" w:themeColor="text2" w:themeTint="E6"/>
              </w:rPr>
              <w:t xml:space="preserve"> </w:t>
            </w:r>
          </w:p>
          <w:p w14:paraId="5BCDD82E" w14:textId="26F817CC" w:rsidR="00573260" w:rsidRPr="00FD78B3" w:rsidRDefault="00720A37" w:rsidP="003E4C24">
            <w:pPr>
              <w:rPr>
                <w:color w:val="153D63" w:themeColor="text2" w:themeTint="E6"/>
              </w:rPr>
            </w:pPr>
            <w:r>
              <w:rPr>
                <w:color w:val="153D63" w:themeColor="text2" w:themeTint="E6"/>
              </w:rPr>
              <w:t>Yes</w:t>
            </w:r>
          </w:p>
        </w:tc>
        <w:tc>
          <w:tcPr>
            <w:tcW w:w="3117" w:type="dxa"/>
          </w:tcPr>
          <w:p w14:paraId="02EB3821" w14:textId="77777777" w:rsidR="00573260" w:rsidRDefault="00573260" w:rsidP="003E4C24">
            <w:pPr>
              <w:rPr>
                <w:b/>
                <w:bCs/>
                <w:color w:val="153D63" w:themeColor="text2" w:themeTint="E6"/>
              </w:rPr>
            </w:pPr>
            <w:r w:rsidRPr="004E4785">
              <w:rPr>
                <w:b/>
                <w:bCs/>
                <w:color w:val="153D63" w:themeColor="text2" w:themeTint="E6"/>
              </w:rPr>
              <w:t>Time Score:</w:t>
            </w:r>
          </w:p>
          <w:p w14:paraId="14D4EE2E" w14:textId="6A2124DE" w:rsidR="00573260" w:rsidRPr="004E4785" w:rsidRDefault="00720A37" w:rsidP="003E4C24">
            <w:pPr>
              <w:rPr>
                <w:color w:val="153D63" w:themeColor="text2" w:themeTint="E6"/>
              </w:rPr>
            </w:pPr>
            <w:r>
              <w:rPr>
                <w:color w:val="153D63" w:themeColor="text2" w:themeTint="E6"/>
              </w:rPr>
              <w:t>Short</w:t>
            </w:r>
          </w:p>
        </w:tc>
      </w:tr>
      <w:tr w:rsidR="00573260" w14:paraId="5199BD61" w14:textId="77777777" w:rsidTr="003E4C24">
        <w:tc>
          <w:tcPr>
            <w:tcW w:w="4675" w:type="dxa"/>
            <w:gridSpan w:val="2"/>
          </w:tcPr>
          <w:p w14:paraId="7EDD1F9D" w14:textId="427BD0A7" w:rsidR="00573260" w:rsidRDefault="00573260" w:rsidP="003E4C24">
            <w:r w:rsidRPr="00016218">
              <w:rPr>
                <w:b/>
                <w:bCs/>
              </w:rPr>
              <w:t>Lead Sponsor</w:t>
            </w:r>
            <w:r>
              <w:t xml:space="preserve">: </w:t>
            </w:r>
            <w:r w:rsidR="00EF2CE2">
              <w:t>Jerret Fischer</w:t>
            </w:r>
          </w:p>
          <w:p w14:paraId="0412B5DC" w14:textId="32C0A582" w:rsidR="00573260" w:rsidRDefault="00720A37" w:rsidP="003E4C24">
            <w:r>
              <w:t>jerret</w:t>
            </w:r>
            <w:r w:rsidR="00EF2CE2">
              <w:t>.fischer</w:t>
            </w:r>
            <w:r>
              <w:t>@srpnet.com</w:t>
            </w:r>
          </w:p>
        </w:tc>
        <w:tc>
          <w:tcPr>
            <w:tcW w:w="4675" w:type="dxa"/>
            <w:gridSpan w:val="2"/>
          </w:tcPr>
          <w:p w14:paraId="6C8AF95E" w14:textId="77777777" w:rsidR="00573260" w:rsidRDefault="00573260" w:rsidP="003E4C24">
            <w:pPr>
              <w:rPr>
                <w:b/>
                <w:bCs/>
              </w:rPr>
            </w:pPr>
            <w:r>
              <w:rPr>
                <w:b/>
                <w:bCs/>
              </w:rPr>
              <w:t xml:space="preserve">Co-Sponsor: </w:t>
            </w:r>
          </w:p>
          <w:p w14:paraId="5CD77B15" w14:textId="7BD53703" w:rsidR="00720A37" w:rsidRPr="00720A37" w:rsidRDefault="00720A37" w:rsidP="003E4C24">
            <w:r>
              <w:t>Arizona Public Service</w:t>
            </w:r>
          </w:p>
        </w:tc>
      </w:tr>
      <w:tr w:rsidR="00573260" w14:paraId="19917156" w14:textId="77777777" w:rsidTr="003E4C24">
        <w:tc>
          <w:tcPr>
            <w:tcW w:w="9350" w:type="dxa"/>
            <w:gridSpan w:val="4"/>
          </w:tcPr>
          <w:p w14:paraId="12030988" w14:textId="02B8779C" w:rsidR="00573260" w:rsidRPr="00C329E4" w:rsidRDefault="00573260" w:rsidP="003E4C24">
            <w:r w:rsidRPr="00F64D69">
              <w:rPr>
                <w:b/>
                <w:bCs/>
              </w:rPr>
              <w:t>Summary</w:t>
            </w:r>
            <w:r>
              <w:t xml:space="preserve">: </w:t>
            </w:r>
            <w:r w:rsidR="00214BDD" w:rsidRPr="00214BDD">
              <w:t>CAISO High-Priority Wheeling Through in WRAP</w:t>
            </w:r>
          </w:p>
        </w:tc>
      </w:tr>
      <w:tr w:rsidR="00573260" w14:paraId="0605711A" w14:textId="77777777" w:rsidTr="003E4C24">
        <w:tc>
          <w:tcPr>
            <w:tcW w:w="9350" w:type="dxa"/>
            <w:gridSpan w:val="4"/>
          </w:tcPr>
          <w:p w14:paraId="7BB5BC4B" w14:textId="3D467135" w:rsidR="00573260" w:rsidRPr="00E2070B" w:rsidRDefault="00573260" w:rsidP="003E4C24">
            <w:pPr>
              <w:rPr>
                <w:b/>
                <w:bCs/>
              </w:rPr>
            </w:pPr>
            <w:r>
              <w:rPr>
                <w:b/>
                <w:bCs/>
              </w:rPr>
              <w:t xml:space="preserve">Description of the issue: </w:t>
            </w:r>
            <w:r w:rsidR="00E2070B">
              <w:rPr>
                <w:b/>
                <w:bCs/>
              </w:rPr>
              <w:t xml:space="preserve"> </w:t>
            </w:r>
            <w:r w:rsidR="00214BDD" w:rsidRPr="00214BDD">
              <w:t>CAISO refers to its firm transmission product as “high-priority wheeling through.” However, the current WRAP Tariff does not explicitly recognize this terminology or specify its equivalency to NERC priority 6 or 7. This creates ambiguity as to whether CAISO high-priority wheeling through qualifies as firm transmission under WRAP. This creates uncertainty for participants relying on CAISO high-priority wheeling through transmission to satisfy WRAP requirements. Without clear recognition, participants may experience compliance risks despite securing the highest available firm transmission from CAISO. </w:t>
            </w:r>
          </w:p>
        </w:tc>
      </w:tr>
      <w:tr w:rsidR="00573260" w14:paraId="221EC4BB" w14:textId="77777777" w:rsidTr="003E4C24">
        <w:tc>
          <w:tcPr>
            <w:tcW w:w="9350" w:type="dxa"/>
            <w:gridSpan w:val="4"/>
          </w:tcPr>
          <w:p w14:paraId="19D09CA2" w14:textId="77777777" w:rsidR="00573260" w:rsidRPr="006008A2" w:rsidRDefault="00573260" w:rsidP="003E4C24">
            <w:r>
              <w:rPr>
                <w:b/>
                <w:bCs/>
              </w:rPr>
              <w:t xml:space="preserve">Proposed solution to the issue described: </w:t>
            </w:r>
          </w:p>
          <w:p w14:paraId="7315B071" w14:textId="6B10B0C5" w:rsidR="00573260" w:rsidRPr="00AB7637" w:rsidRDefault="001532AE" w:rsidP="003E4C24">
            <w:r w:rsidRPr="001532AE">
              <w:t>Revise tariff sections 16.2.61, 16.2.6.2, and 20.6 to recognize CAISO high-priority wheeling through as equivalent to NERC Priority 6 or 7. </w:t>
            </w:r>
          </w:p>
        </w:tc>
      </w:tr>
      <w:tr w:rsidR="00573260" w14:paraId="0C84E1FC" w14:textId="77777777" w:rsidTr="003E4C24">
        <w:tc>
          <w:tcPr>
            <w:tcW w:w="9350" w:type="dxa"/>
            <w:gridSpan w:val="4"/>
          </w:tcPr>
          <w:p w14:paraId="116E0025" w14:textId="77777777" w:rsidR="00573260" w:rsidRDefault="00573260" w:rsidP="003E4C24">
            <w:pPr>
              <w:rPr>
                <w:b/>
                <w:bCs/>
              </w:rPr>
            </w:pPr>
            <w:r>
              <w:rPr>
                <w:b/>
                <w:bCs/>
              </w:rPr>
              <w:t>Specific document and language you would like changed:</w:t>
            </w:r>
          </w:p>
          <w:p w14:paraId="5BD8ABC5" w14:textId="3C973919" w:rsidR="00FB1178" w:rsidRPr="00FB1178" w:rsidRDefault="00FB1178" w:rsidP="00CC2F52">
            <w:r w:rsidRPr="00FB1178">
              <w:t>WRAP Tariff</w:t>
            </w:r>
            <w:r w:rsidR="00CC2F52">
              <w:t xml:space="preserve"> </w:t>
            </w:r>
            <w:r w:rsidRPr="00FB1178">
              <w:t>Sections: 16.2.61, 16.2.6.2, and 20.6 </w:t>
            </w:r>
          </w:p>
          <w:p w14:paraId="22429483" w14:textId="77777777" w:rsidR="00FB1178" w:rsidRPr="00FB1178" w:rsidRDefault="00FB1178" w:rsidP="006247A6">
            <w:pPr>
              <w:numPr>
                <w:ilvl w:val="0"/>
                <w:numId w:val="12"/>
              </w:numPr>
            </w:pPr>
            <w:r w:rsidRPr="00FB1178">
              <w:t>16.2.6.1 –</w:t>
            </w:r>
            <w:r w:rsidRPr="00FB1178">
              <w:rPr>
                <w:i/>
                <w:iCs/>
              </w:rPr>
              <w:t> affirmation of NERC priority 6 or 7 firm point-to-point transmission service rights or network integration transmission service rights from the identified resource to the point of delivery/load.</w:t>
            </w:r>
            <w:r w:rsidRPr="00FB1178">
              <w:t>  </w:t>
            </w:r>
          </w:p>
          <w:p w14:paraId="6F48274D" w14:textId="77777777" w:rsidR="00FB1178" w:rsidRPr="00FB1178" w:rsidRDefault="00FB1178" w:rsidP="006247A6">
            <w:pPr>
              <w:numPr>
                <w:ilvl w:val="0"/>
                <w:numId w:val="12"/>
              </w:numPr>
            </w:pPr>
            <w:r w:rsidRPr="00FB1178">
              <w:t>16.2.6.2 – </w:t>
            </w:r>
            <w:r w:rsidRPr="00FB1178">
              <w:rPr>
                <w:i/>
                <w:iCs/>
              </w:rPr>
              <w:t>there must be NERC priority 6 or 7 firm point-to-point transmission service rights or network integration transmission service rights from the identified resource to the point of delivery/load.</w:t>
            </w:r>
            <w:r w:rsidRPr="00FB1178">
              <w:t> </w:t>
            </w:r>
          </w:p>
          <w:p w14:paraId="4408467C" w14:textId="49A788DE" w:rsidR="00573260" w:rsidRPr="003E595A" w:rsidRDefault="00FB1178" w:rsidP="006247A6">
            <w:pPr>
              <w:numPr>
                <w:ilvl w:val="0"/>
                <w:numId w:val="12"/>
              </w:numPr>
            </w:pPr>
            <w:r w:rsidRPr="00FB1178">
              <w:t>20.6 – </w:t>
            </w:r>
            <w:r w:rsidRPr="00FB1178">
              <w:rPr>
                <w:i/>
                <w:iCs/>
              </w:rPr>
              <w:t>Participant shall have in place, prior to the Operating Day, transmission service satisfying NERC priority 6 or 7 for each hour of such Operating Day for which a Sharing Event has been established</w:t>
            </w:r>
            <w:r w:rsidR="00E2070B">
              <w:rPr>
                <w:i/>
                <w:iCs/>
              </w:rPr>
              <w:t>.</w:t>
            </w:r>
          </w:p>
        </w:tc>
      </w:tr>
      <w:tr w:rsidR="00573260" w14:paraId="74B531D2" w14:textId="77777777" w:rsidTr="003E4C24">
        <w:tc>
          <w:tcPr>
            <w:tcW w:w="9350" w:type="dxa"/>
            <w:gridSpan w:val="4"/>
          </w:tcPr>
          <w:p w14:paraId="60DE3957" w14:textId="77777777" w:rsidR="00573260" w:rsidRDefault="00573260" w:rsidP="003E4C24">
            <w:pPr>
              <w:rPr>
                <w:b/>
                <w:bCs/>
              </w:rPr>
            </w:pPr>
            <w:r>
              <w:rPr>
                <w:b/>
                <w:bCs/>
              </w:rPr>
              <w:t xml:space="preserve">Suggestion for how language could be updated to address </w:t>
            </w:r>
            <w:proofErr w:type="gramStart"/>
            <w:r>
              <w:rPr>
                <w:b/>
                <w:bCs/>
              </w:rPr>
              <w:t>issue</w:t>
            </w:r>
            <w:proofErr w:type="gramEnd"/>
            <w:r>
              <w:rPr>
                <w:b/>
                <w:bCs/>
              </w:rPr>
              <w:t>:</w:t>
            </w:r>
          </w:p>
          <w:p w14:paraId="484AB2AB" w14:textId="5CE38EFF" w:rsidR="00573260" w:rsidRPr="004A50B4" w:rsidRDefault="00930FFA" w:rsidP="003E4C24">
            <w:r w:rsidRPr="00930FFA">
              <w:t>Introduce language that provides clarity on what qualifies as qualifying transmission to evaluate transmission products that do not explicitly use NERC Priority rating. A general definition of equivalent transmission and/or criteria for validating equivalence for non-NERC classified transmission products. </w:t>
            </w:r>
          </w:p>
        </w:tc>
      </w:tr>
      <w:tr w:rsidR="00573260" w14:paraId="2FB9F4CA" w14:textId="77777777" w:rsidTr="003E4C24">
        <w:tc>
          <w:tcPr>
            <w:tcW w:w="9350" w:type="dxa"/>
            <w:gridSpan w:val="4"/>
          </w:tcPr>
          <w:p w14:paraId="66452E1D" w14:textId="77777777" w:rsidR="00573260" w:rsidRDefault="00573260" w:rsidP="003E4C24">
            <w:r>
              <w:rPr>
                <w:b/>
                <w:bCs/>
              </w:rPr>
              <w:t>Describe the benefits that will be realized from this change:</w:t>
            </w:r>
          </w:p>
          <w:p w14:paraId="0706ECE0" w14:textId="7BB3142F" w:rsidR="00573260" w:rsidRPr="00A5483E" w:rsidRDefault="00930FFA" w:rsidP="003E4C24">
            <w:r w:rsidRPr="00930FFA">
              <w:t>This change resolves uncertainty around transmission compliance by providing clarity for what qualifies as firm transmission under WRAP. Participants will gain confidence that high-priority transmission products that do not use a NERC Priority rating will satisfy WRAP requirements, which will streamline compliance.</w:t>
            </w:r>
          </w:p>
        </w:tc>
      </w:tr>
      <w:tr w:rsidR="00573260" w14:paraId="6E291F36" w14:textId="77777777" w:rsidTr="003E4C24">
        <w:tc>
          <w:tcPr>
            <w:tcW w:w="9350" w:type="dxa"/>
            <w:gridSpan w:val="4"/>
          </w:tcPr>
          <w:p w14:paraId="0BF0B1B1" w14:textId="77777777" w:rsidR="00573260" w:rsidRDefault="00573260" w:rsidP="003E4C24">
            <w:pPr>
              <w:rPr>
                <w:b/>
                <w:bCs/>
              </w:rPr>
            </w:pPr>
            <w:r>
              <w:rPr>
                <w:b/>
                <w:bCs/>
              </w:rPr>
              <w:t>Any data/information that would characterize the importance of the issue:</w:t>
            </w:r>
          </w:p>
          <w:p w14:paraId="2BDD91A5" w14:textId="3A7780C6" w:rsidR="00573260" w:rsidRPr="00324C95" w:rsidRDefault="00930FFA" w:rsidP="003E4C24">
            <w:r>
              <w:t>-</w:t>
            </w:r>
          </w:p>
        </w:tc>
      </w:tr>
    </w:tbl>
    <w:p w14:paraId="6AA7B91B" w14:textId="463073C8" w:rsidR="00C64EA2" w:rsidRDefault="006008A2">
      <w:pPr>
        <w:rPr>
          <w:rFonts w:eastAsiaTheme="majorEastAsia"/>
        </w:rPr>
      </w:pPr>
      <w:r>
        <w:rPr>
          <w:rFonts w:eastAsiaTheme="majorEastAsia"/>
        </w:rPr>
        <w:br w:type="page"/>
      </w:r>
    </w:p>
    <w:tbl>
      <w:tblPr>
        <w:tblStyle w:val="TableGrid"/>
        <w:tblW w:w="0" w:type="auto"/>
        <w:tblLook w:val="04A0" w:firstRow="1" w:lastRow="0" w:firstColumn="1" w:lastColumn="0" w:noHBand="0" w:noVBand="1"/>
      </w:tblPr>
      <w:tblGrid>
        <w:gridCol w:w="3116"/>
        <w:gridCol w:w="1559"/>
        <w:gridCol w:w="1558"/>
        <w:gridCol w:w="3117"/>
      </w:tblGrid>
      <w:tr w:rsidR="00C64EA2" w14:paraId="0C666EA4" w14:textId="77777777" w:rsidTr="003E4C24">
        <w:tc>
          <w:tcPr>
            <w:tcW w:w="9350" w:type="dxa"/>
            <w:gridSpan w:val="4"/>
          </w:tcPr>
          <w:p w14:paraId="3F752703" w14:textId="4784193F" w:rsidR="00C64EA2" w:rsidRDefault="00C64EA2" w:rsidP="003E4C24">
            <w:pPr>
              <w:pStyle w:val="Heading1"/>
            </w:pPr>
            <w:bookmarkStart w:id="43" w:name="_Toc189746898"/>
            <w:bookmarkStart w:id="44" w:name="_Toc189840324"/>
            <w:r>
              <w:lastRenderedPageBreak/>
              <w:t>2024-CRF-0</w:t>
            </w:r>
            <w:r w:rsidR="00F2514C">
              <w:t>10</w:t>
            </w:r>
            <w:r>
              <w:t xml:space="preserve"> / </w:t>
            </w:r>
            <w:r w:rsidR="00F2514C">
              <w:t>SRP</w:t>
            </w:r>
            <w:r>
              <w:t xml:space="preserve"> / </w:t>
            </w:r>
            <w:r w:rsidR="00332C97">
              <w:t>Capability Testing Off-Season</w:t>
            </w:r>
            <w:bookmarkEnd w:id="43"/>
            <w:bookmarkEnd w:id="44"/>
          </w:p>
        </w:tc>
      </w:tr>
      <w:tr w:rsidR="00C64EA2" w14:paraId="36C2B38A" w14:textId="77777777" w:rsidTr="003E4C24">
        <w:tc>
          <w:tcPr>
            <w:tcW w:w="3116" w:type="dxa"/>
          </w:tcPr>
          <w:p w14:paraId="50AF472B" w14:textId="77777777" w:rsidR="00C64EA2" w:rsidRPr="00FD78B3" w:rsidRDefault="00C64EA2" w:rsidP="003E4C24">
            <w:pPr>
              <w:rPr>
                <w:b/>
                <w:bCs/>
                <w:color w:val="153D63" w:themeColor="text2" w:themeTint="E6"/>
              </w:rPr>
            </w:pPr>
            <w:r w:rsidRPr="00FD78B3">
              <w:rPr>
                <w:b/>
                <w:bCs/>
                <w:color w:val="153D63" w:themeColor="text2" w:themeTint="E6"/>
              </w:rPr>
              <w:t xml:space="preserve">WRAP Area: </w:t>
            </w:r>
          </w:p>
          <w:p w14:paraId="6F4A224C" w14:textId="096B3CE5" w:rsidR="00C64EA2" w:rsidRPr="00FD78B3" w:rsidRDefault="00BF5913" w:rsidP="003E4C24">
            <w:pPr>
              <w:rPr>
                <w:color w:val="153D63" w:themeColor="text2" w:themeTint="E6"/>
              </w:rPr>
            </w:pPr>
            <w:r>
              <w:rPr>
                <w:color w:val="153D63" w:themeColor="text2" w:themeTint="E6"/>
              </w:rPr>
              <w:t>FS Demo</w:t>
            </w:r>
            <w:r w:rsidR="003E4678">
              <w:rPr>
                <w:color w:val="153D63" w:themeColor="text2" w:themeTint="E6"/>
              </w:rPr>
              <w:t>nstration</w:t>
            </w:r>
          </w:p>
        </w:tc>
        <w:tc>
          <w:tcPr>
            <w:tcW w:w="3117" w:type="dxa"/>
            <w:gridSpan w:val="2"/>
          </w:tcPr>
          <w:p w14:paraId="0A12AA1C" w14:textId="11835BEF" w:rsidR="00C64EA2" w:rsidRDefault="00C1275B" w:rsidP="003E4C24">
            <w:pPr>
              <w:rPr>
                <w:color w:val="153D63" w:themeColor="text2" w:themeTint="E6"/>
              </w:rPr>
            </w:pPr>
            <w:r>
              <w:rPr>
                <w:b/>
                <w:bCs/>
                <w:color w:val="153D63" w:themeColor="text2" w:themeTint="E6"/>
              </w:rPr>
              <w:t>Tariff</w:t>
            </w:r>
            <w:r w:rsidR="00C64EA2" w:rsidRPr="004E4785">
              <w:rPr>
                <w:b/>
                <w:bCs/>
                <w:color w:val="153D63" w:themeColor="text2" w:themeTint="E6"/>
              </w:rPr>
              <w:t xml:space="preserve"> Change</w:t>
            </w:r>
            <w:r w:rsidR="00C64EA2" w:rsidRPr="00FD78B3">
              <w:rPr>
                <w:color w:val="153D63" w:themeColor="text2" w:themeTint="E6"/>
              </w:rPr>
              <w:t>:</w:t>
            </w:r>
            <w:r w:rsidR="00C64EA2">
              <w:rPr>
                <w:color w:val="153D63" w:themeColor="text2" w:themeTint="E6"/>
              </w:rPr>
              <w:t xml:space="preserve"> </w:t>
            </w:r>
          </w:p>
          <w:p w14:paraId="0914A840" w14:textId="7E069929" w:rsidR="00C64EA2" w:rsidRPr="00FD78B3" w:rsidRDefault="00AF3FC5" w:rsidP="003E4C24">
            <w:pPr>
              <w:rPr>
                <w:color w:val="153D63" w:themeColor="text2" w:themeTint="E6"/>
              </w:rPr>
            </w:pPr>
            <w:r>
              <w:rPr>
                <w:color w:val="153D63" w:themeColor="text2" w:themeTint="E6"/>
              </w:rPr>
              <w:t>No</w:t>
            </w:r>
          </w:p>
        </w:tc>
        <w:tc>
          <w:tcPr>
            <w:tcW w:w="3117" w:type="dxa"/>
          </w:tcPr>
          <w:p w14:paraId="78875BF0" w14:textId="77777777" w:rsidR="00C64EA2" w:rsidRDefault="00C64EA2" w:rsidP="003E4C24">
            <w:pPr>
              <w:rPr>
                <w:b/>
                <w:bCs/>
                <w:color w:val="153D63" w:themeColor="text2" w:themeTint="E6"/>
              </w:rPr>
            </w:pPr>
            <w:r w:rsidRPr="004E4785">
              <w:rPr>
                <w:b/>
                <w:bCs/>
                <w:color w:val="153D63" w:themeColor="text2" w:themeTint="E6"/>
              </w:rPr>
              <w:t>Time Score:</w:t>
            </w:r>
          </w:p>
          <w:p w14:paraId="7BDF0B55" w14:textId="2FDAF719" w:rsidR="00C64EA2" w:rsidRPr="004E4785" w:rsidRDefault="00AF3FC5" w:rsidP="003E4C24">
            <w:pPr>
              <w:rPr>
                <w:color w:val="153D63" w:themeColor="text2" w:themeTint="E6"/>
              </w:rPr>
            </w:pPr>
            <w:r>
              <w:rPr>
                <w:color w:val="153D63" w:themeColor="text2" w:themeTint="E6"/>
              </w:rPr>
              <w:t>Medium</w:t>
            </w:r>
          </w:p>
        </w:tc>
      </w:tr>
      <w:tr w:rsidR="00C64EA2" w14:paraId="43C8B6FB" w14:textId="77777777" w:rsidTr="003E4C24">
        <w:tc>
          <w:tcPr>
            <w:tcW w:w="4675" w:type="dxa"/>
            <w:gridSpan w:val="2"/>
          </w:tcPr>
          <w:p w14:paraId="43E6B083" w14:textId="77777777" w:rsidR="00286785" w:rsidRDefault="00C64EA2" w:rsidP="00286785">
            <w:r w:rsidRPr="00016218">
              <w:rPr>
                <w:b/>
                <w:bCs/>
              </w:rPr>
              <w:t>Lead Sponsor</w:t>
            </w:r>
            <w:r>
              <w:t xml:space="preserve">: </w:t>
            </w:r>
            <w:r w:rsidR="00286785">
              <w:t>Jerret Fischer</w:t>
            </w:r>
          </w:p>
          <w:p w14:paraId="3AE872B3" w14:textId="5D554C11" w:rsidR="00C64EA2" w:rsidRDefault="00286785" w:rsidP="003E4C24">
            <w:r>
              <w:t>jerret.fischer@srpnet.com</w:t>
            </w:r>
          </w:p>
        </w:tc>
        <w:tc>
          <w:tcPr>
            <w:tcW w:w="4675" w:type="dxa"/>
            <w:gridSpan w:val="2"/>
          </w:tcPr>
          <w:p w14:paraId="028502CA" w14:textId="77777777" w:rsidR="00C64EA2" w:rsidRPr="00651CDC" w:rsidRDefault="00C64EA2" w:rsidP="003E4C24">
            <w:r>
              <w:rPr>
                <w:b/>
                <w:bCs/>
              </w:rPr>
              <w:t xml:space="preserve">Co-Sponsor: </w:t>
            </w:r>
          </w:p>
        </w:tc>
      </w:tr>
      <w:tr w:rsidR="00C64EA2" w14:paraId="29BA3E99" w14:textId="77777777" w:rsidTr="003E4C24">
        <w:tc>
          <w:tcPr>
            <w:tcW w:w="9350" w:type="dxa"/>
            <w:gridSpan w:val="4"/>
          </w:tcPr>
          <w:p w14:paraId="06208C7D" w14:textId="21EE7998" w:rsidR="00C64EA2" w:rsidRPr="00C329E4" w:rsidRDefault="00C64EA2" w:rsidP="003E4C24">
            <w:r w:rsidRPr="00F64D69">
              <w:rPr>
                <w:b/>
                <w:bCs/>
              </w:rPr>
              <w:t>Summary</w:t>
            </w:r>
            <w:r>
              <w:t xml:space="preserve">: </w:t>
            </w:r>
            <w:r w:rsidR="00B63F7E" w:rsidRPr="00B63F7E">
              <w:t>Capability Testing Requirements for Seasonal Compliance</w:t>
            </w:r>
          </w:p>
        </w:tc>
      </w:tr>
      <w:tr w:rsidR="00C64EA2" w14:paraId="4BA41A09" w14:textId="77777777" w:rsidTr="003E4C24">
        <w:tc>
          <w:tcPr>
            <w:tcW w:w="9350" w:type="dxa"/>
            <w:gridSpan w:val="4"/>
          </w:tcPr>
          <w:p w14:paraId="74A4C93E" w14:textId="77777777" w:rsidR="00B63F7E" w:rsidRDefault="00C64EA2" w:rsidP="003E4C24">
            <w:pPr>
              <w:rPr>
                <w:b/>
                <w:bCs/>
              </w:rPr>
            </w:pPr>
            <w:r>
              <w:rPr>
                <w:b/>
                <w:bCs/>
              </w:rPr>
              <w:t xml:space="preserve">Description of the issue: </w:t>
            </w:r>
          </w:p>
          <w:p w14:paraId="69004D58" w14:textId="280C22EE" w:rsidR="00C64EA2" w:rsidRPr="00B63F7E" w:rsidRDefault="00B63F7E" w:rsidP="003E4C24">
            <w:r w:rsidRPr="00B63F7E">
              <w:t>The capacity testing requirements outlined in BPM 105 require that thermal resources perform summer capability tests during the summer season under specific temperature conditions. SRP typically conducts tests in off-seasons periods (spring or winter) to avoid operational disruptions during peak demand. This requirement risks penalties for off-season testing and reduces QCC values.</w:t>
            </w:r>
          </w:p>
        </w:tc>
      </w:tr>
      <w:tr w:rsidR="00C64EA2" w14:paraId="75992093" w14:textId="77777777" w:rsidTr="003E4C24">
        <w:tc>
          <w:tcPr>
            <w:tcW w:w="9350" w:type="dxa"/>
            <w:gridSpan w:val="4"/>
          </w:tcPr>
          <w:p w14:paraId="7187A8C7" w14:textId="77777777" w:rsidR="00C64EA2" w:rsidRPr="006008A2" w:rsidRDefault="00C64EA2" w:rsidP="003E4C24">
            <w:r>
              <w:rPr>
                <w:b/>
                <w:bCs/>
              </w:rPr>
              <w:t xml:space="preserve">Proposed solution to the issue described: </w:t>
            </w:r>
          </w:p>
          <w:p w14:paraId="7C62CE81" w14:textId="7BFDF785" w:rsidR="00C64EA2" w:rsidRPr="00AB7637" w:rsidRDefault="00AC2C43" w:rsidP="003E4C24">
            <w:r w:rsidRPr="00AC2C43">
              <w:t>Permit historical operational data to meet requirements when summer season testing is not feasible. In the event, historical operational data is unavailable, allow off-season test results if adjusted for summer conditions.</w:t>
            </w:r>
          </w:p>
        </w:tc>
      </w:tr>
      <w:tr w:rsidR="00C64EA2" w14:paraId="3760C84F" w14:textId="77777777" w:rsidTr="003E4C24">
        <w:tc>
          <w:tcPr>
            <w:tcW w:w="9350" w:type="dxa"/>
            <w:gridSpan w:val="4"/>
          </w:tcPr>
          <w:p w14:paraId="0E838F08" w14:textId="77777777" w:rsidR="00C64EA2" w:rsidRDefault="00C64EA2" w:rsidP="003E4C24">
            <w:pPr>
              <w:rPr>
                <w:b/>
                <w:bCs/>
              </w:rPr>
            </w:pPr>
            <w:r>
              <w:rPr>
                <w:b/>
                <w:bCs/>
              </w:rPr>
              <w:t>Specific document and language you would like changed:</w:t>
            </w:r>
          </w:p>
          <w:p w14:paraId="2612EA9A" w14:textId="0E7BFE24" w:rsidR="00AC2C43" w:rsidRPr="00AC2C43" w:rsidRDefault="00AC2C43" w:rsidP="007F7440">
            <w:r w:rsidRPr="00AC2C43">
              <w:t>BPM 105 </w:t>
            </w:r>
            <w:r w:rsidR="007F7440">
              <w:t xml:space="preserve">Section </w:t>
            </w:r>
            <w:r w:rsidRPr="00AC2C43">
              <w:t>3.4.2.1 Capability Test Requirements for Thermal Resources: </w:t>
            </w:r>
          </w:p>
          <w:p w14:paraId="6812E179" w14:textId="3B0A8216" w:rsidR="00C64EA2" w:rsidRPr="003E595A" w:rsidRDefault="00AC2C43" w:rsidP="006247A6">
            <w:pPr>
              <w:numPr>
                <w:ilvl w:val="0"/>
                <w:numId w:val="13"/>
              </w:numPr>
            </w:pPr>
            <w:r w:rsidRPr="00AC2C43">
              <w:t>Summer Capability Tests are to be conducted during a time when the ambient dry-bulb temperature is no more than 10 degrees Fahrenheit below the station ASHRAE Rated Ambient Temperature. </w:t>
            </w:r>
          </w:p>
        </w:tc>
      </w:tr>
      <w:tr w:rsidR="00C64EA2" w14:paraId="06491190" w14:textId="77777777" w:rsidTr="003E4C24">
        <w:tc>
          <w:tcPr>
            <w:tcW w:w="9350" w:type="dxa"/>
            <w:gridSpan w:val="4"/>
          </w:tcPr>
          <w:p w14:paraId="16F14103" w14:textId="77777777" w:rsidR="00C64EA2" w:rsidRDefault="00C64EA2" w:rsidP="003E4C24">
            <w:pPr>
              <w:rPr>
                <w:b/>
                <w:bCs/>
              </w:rPr>
            </w:pPr>
            <w:r>
              <w:rPr>
                <w:b/>
                <w:bCs/>
              </w:rPr>
              <w:t xml:space="preserve">Suggestion for how language could be updated to address </w:t>
            </w:r>
            <w:proofErr w:type="gramStart"/>
            <w:r>
              <w:rPr>
                <w:b/>
                <w:bCs/>
              </w:rPr>
              <w:t>issue</w:t>
            </w:r>
            <w:proofErr w:type="gramEnd"/>
            <w:r>
              <w:rPr>
                <w:b/>
                <w:bCs/>
              </w:rPr>
              <w:t>:</w:t>
            </w:r>
          </w:p>
          <w:p w14:paraId="4057E06A" w14:textId="3DE8D677" w:rsidR="00C64EA2" w:rsidRPr="004A50B4" w:rsidRDefault="00586285" w:rsidP="003E4C24">
            <w:r w:rsidRPr="00586285">
              <w:t>Historical operational data may be submitted to meet summer testing requirements when summer season testing is not feasible. If historical data is unavailable, off-season Capability Tests may be used with adjustments for summer conditions. Penalties for deviations in dry-bulb temperature requirements will not apply if adjustments are applied to align off-season test results with expected summer conditions.</w:t>
            </w:r>
          </w:p>
        </w:tc>
      </w:tr>
      <w:tr w:rsidR="00C64EA2" w14:paraId="422E3424" w14:textId="77777777" w:rsidTr="003E4C24">
        <w:tc>
          <w:tcPr>
            <w:tcW w:w="9350" w:type="dxa"/>
            <w:gridSpan w:val="4"/>
          </w:tcPr>
          <w:p w14:paraId="3C3366A1" w14:textId="77777777" w:rsidR="00C64EA2" w:rsidRDefault="00C64EA2" w:rsidP="003E4C24">
            <w:r>
              <w:rPr>
                <w:b/>
                <w:bCs/>
              </w:rPr>
              <w:t>Describe the benefits that will be realized from this change:</w:t>
            </w:r>
          </w:p>
          <w:p w14:paraId="1AF4F380" w14:textId="3F47563E" w:rsidR="00C64EA2" w:rsidRPr="00A5483E" w:rsidRDefault="00586285" w:rsidP="00586285">
            <w:pPr>
              <w:tabs>
                <w:tab w:val="left" w:pos="1560"/>
              </w:tabs>
            </w:pPr>
            <w:r w:rsidRPr="00586285">
              <w:t>Aligns testing requirement with practical operational practices, allowing compliance without disrupting critical summer operations. It also minimizes penalties while ensuring reliable QCC calculations are maintained.</w:t>
            </w:r>
          </w:p>
        </w:tc>
      </w:tr>
      <w:tr w:rsidR="00C64EA2" w14:paraId="1A9006B3" w14:textId="77777777" w:rsidTr="003E4C24">
        <w:tc>
          <w:tcPr>
            <w:tcW w:w="9350" w:type="dxa"/>
            <w:gridSpan w:val="4"/>
          </w:tcPr>
          <w:p w14:paraId="01931D3A" w14:textId="77777777" w:rsidR="00C64EA2" w:rsidRDefault="00C64EA2" w:rsidP="003E4C24">
            <w:pPr>
              <w:rPr>
                <w:b/>
                <w:bCs/>
              </w:rPr>
            </w:pPr>
            <w:r>
              <w:rPr>
                <w:b/>
                <w:bCs/>
              </w:rPr>
              <w:t>Any data/information that would characterize the importance of the issue:</w:t>
            </w:r>
          </w:p>
          <w:p w14:paraId="03D4ECE0" w14:textId="2EC46955" w:rsidR="00C64EA2" w:rsidRPr="00324C95" w:rsidRDefault="00586285" w:rsidP="003E4C24">
            <w:r>
              <w:t>-</w:t>
            </w:r>
          </w:p>
        </w:tc>
      </w:tr>
    </w:tbl>
    <w:p w14:paraId="5C051FAE" w14:textId="35FAAE91" w:rsidR="00286785" w:rsidRDefault="00286785" w:rsidP="00EE62E8">
      <w:pPr>
        <w:rPr>
          <w:rFonts w:eastAsiaTheme="majorEastAsia"/>
        </w:rPr>
      </w:pPr>
    </w:p>
    <w:p w14:paraId="6D07B59C" w14:textId="77777777" w:rsidR="00286785" w:rsidRDefault="00286785">
      <w:pPr>
        <w:rPr>
          <w:rFonts w:eastAsiaTheme="majorEastAsia"/>
        </w:rPr>
      </w:pPr>
      <w:r>
        <w:rPr>
          <w:rFonts w:eastAsiaTheme="majorEastAsia"/>
        </w:rPr>
        <w:br w:type="page"/>
      </w:r>
    </w:p>
    <w:tbl>
      <w:tblPr>
        <w:tblStyle w:val="TableGrid"/>
        <w:tblW w:w="0" w:type="auto"/>
        <w:tblLook w:val="04A0" w:firstRow="1" w:lastRow="0" w:firstColumn="1" w:lastColumn="0" w:noHBand="0" w:noVBand="1"/>
      </w:tblPr>
      <w:tblGrid>
        <w:gridCol w:w="3116"/>
        <w:gridCol w:w="1559"/>
        <w:gridCol w:w="1558"/>
        <w:gridCol w:w="3117"/>
      </w:tblGrid>
      <w:tr w:rsidR="00286785" w14:paraId="32A71378" w14:textId="77777777" w:rsidTr="003E4C24">
        <w:tc>
          <w:tcPr>
            <w:tcW w:w="9350" w:type="dxa"/>
            <w:gridSpan w:val="4"/>
          </w:tcPr>
          <w:p w14:paraId="5BCF16B5" w14:textId="6F8327F2" w:rsidR="00286785" w:rsidRDefault="00286785" w:rsidP="003E4C24">
            <w:pPr>
              <w:pStyle w:val="Heading1"/>
            </w:pPr>
            <w:bookmarkStart w:id="45" w:name="_Toc189746899"/>
            <w:bookmarkStart w:id="46" w:name="_Toc189840325"/>
            <w:r>
              <w:lastRenderedPageBreak/>
              <w:t>2024-CRF-</w:t>
            </w:r>
            <w:r w:rsidR="00061FE0">
              <w:t>011</w:t>
            </w:r>
            <w:r>
              <w:t xml:space="preserve"> / </w:t>
            </w:r>
            <w:r w:rsidR="00061FE0">
              <w:t>SRP</w:t>
            </w:r>
            <w:r>
              <w:t xml:space="preserve"> / </w:t>
            </w:r>
            <w:r w:rsidR="000E5625">
              <w:t>Load Growth Factor</w:t>
            </w:r>
            <w:bookmarkEnd w:id="45"/>
            <w:bookmarkEnd w:id="46"/>
          </w:p>
        </w:tc>
      </w:tr>
      <w:tr w:rsidR="00286785" w14:paraId="3ED1AC58" w14:textId="77777777" w:rsidTr="003E4C24">
        <w:tc>
          <w:tcPr>
            <w:tcW w:w="3116" w:type="dxa"/>
          </w:tcPr>
          <w:p w14:paraId="4EA2A3C8" w14:textId="77777777" w:rsidR="00286785" w:rsidRPr="00FD78B3" w:rsidRDefault="00286785" w:rsidP="003E4C24">
            <w:pPr>
              <w:rPr>
                <w:b/>
                <w:bCs/>
                <w:color w:val="153D63" w:themeColor="text2" w:themeTint="E6"/>
              </w:rPr>
            </w:pPr>
            <w:r w:rsidRPr="00FD78B3">
              <w:rPr>
                <w:b/>
                <w:bCs/>
                <w:color w:val="153D63" w:themeColor="text2" w:themeTint="E6"/>
              </w:rPr>
              <w:t xml:space="preserve">WRAP Area: </w:t>
            </w:r>
          </w:p>
          <w:p w14:paraId="50720A8B" w14:textId="01774F74" w:rsidR="00286785" w:rsidRPr="00FD78B3" w:rsidRDefault="003E4678" w:rsidP="003E4C24">
            <w:pPr>
              <w:rPr>
                <w:color w:val="153D63" w:themeColor="text2" w:themeTint="E6"/>
              </w:rPr>
            </w:pPr>
            <w:r>
              <w:rPr>
                <w:color w:val="153D63" w:themeColor="text2" w:themeTint="E6"/>
              </w:rPr>
              <w:t>FS Capacity Requirement</w:t>
            </w:r>
          </w:p>
        </w:tc>
        <w:tc>
          <w:tcPr>
            <w:tcW w:w="3117" w:type="dxa"/>
            <w:gridSpan w:val="2"/>
          </w:tcPr>
          <w:p w14:paraId="420B5D00" w14:textId="4E5FA59E" w:rsidR="00286785" w:rsidRDefault="00C1275B" w:rsidP="003E4C24">
            <w:pPr>
              <w:rPr>
                <w:color w:val="153D63" w:themeColor="text2" w:themeTint="E6"/>
              </w:rPr>
            </w:pPr>
            <w:r>
              <w:rPr>
                <w:b/>
                <w:bCs/>
                <w:color w:val="153D63" w:themeColor="text2" w:themeTint="E6"/>
              </w:rPr>
              <w:t>Tariff</w:t>
            </w:r>
            <w:r w:rsidR="00286785" w:rsidRPr="004E4785">
              <w:rPr>
                <w:b/>
                <w:bCs/>
                <w:color w:val="153D63" w:themeColor="text2" w:themeTint="E6"/>
              </w:rPr>
              <w:t xml:space="preserve"> Change</w:t>
            </w:r>
            <w:r w:rsidR="00286785" w:rsidRPr="00FD78B3">
              <w:rPr>
                <w:color w:val="153D63" w:themeColor="text2" w:themeTint="E6"/>
              </w:rPr>
              <w:t>:</w:t>
            </w:r>
            <w:r w:rsidR="00286785">
              <w:rPr>
                <w:color w:val="153D63" w:themeColor="text2" w:themeTint="E6"/>
              </w:rPr>
              <w:t xml:space="preserve"> </w:t>
            </w:r>
          </w:p>
          <w:p w14:paraId="48FB8F0F" w14:textId="024EA958" w:rsidR="00286785" w:rsidRPr="00FD78B3" w:rsidRDefault="00FD3634" w:rsidP="003E4C24">
            <w:pPr>
              <w:rPr>
                <w:color w:val="153D63" w:themeColor="text2" w:themeTint="E6"/>
              </w:rPr>
            </w:pPr>
            <w:r>
              <w:rPr>
                <w:color w:val="153D63" w:themeColor="text2" w:themeTint="E6"/>
              </w:rPr>
              <w:t>No</w:t>
            </w:r>
          </w:p>
        </w:tc>
        <w:tc>
          <w:tcPr>
            <w:tcW w:w="3117" w:type="dxa"/>
          </w:tcPr>
          <w:p w14:paraId="75AC05EB" w14:textId="77777777" w:rsidR="00286785" w:rsidRDefault="00286785" w:rsidP="003E4C24">
            <w:pPr>
              <w:rPr>
                <w:b/>
                <w:bCs/>
                <w:color w:val="153D63" w:themeColor="text2" w:themeTint="E6"/>
              </w:rPr>
            </w:pPr>
            <w:r w:rsidRPr="004E4785">
              <w:rPr>
                <w:b/>
                <w:bCs/>
                <w:color w:val="153D63" w:themeColor="text2" w:themeTint="E6"/>
              </w:rPr>
              <w:t>Time Score:</w:t>
            </w:r>
          </w:p>
          <w:p w14:paraId="636BEF8C" w14:textId="5289C9B3" w:rsidR="00286785" w:rsidRPr="004E4785" w:rsidRDefault="00FD3634" w:rsidP="003E4C24">
            <w:pPr>
              <w:rPr>
                <w:color w:val="153D63" w:themeColor="text2" w:themeTint="E6"/>
              </w:rPr>
            </w:pPr>
            <w:r>
              <w:rPr>
                <w:color w:val="153D63" w:themeColor="text2" w:themeTint="E6"/>
              </w:rPr>
              <w:t>Long</w:t>
            </w:r>
          </w:p>
        </w:tc>
      </w:tr>
      <w:tr w:rsidR="00286785" w14:paraId="76CB65B6" w14:textId="77777777" w:rsidTr="003E4C24">
        <w:tc>
          <w:tcPr>
            <w:tcW w:w="4675" w:type="dxa"/>
            <w:gridSpan w:val="2"/>
          </w:tcPr>
          <w:p w14:paraId="034AF84C" w14:textId="7C1B3D14" w:rsidR="00542BCC" w:rsidRDefault="00286785" w:rsidP="00542BCC">
            <w:r w:rsidRPr="00016218">
              <w:rPr>
                <w:b/>
                <w:bCs/>
              </w:rPr>
              <w:t>Lead Sponsor</w:t>
            </w:r>
            <w:r>
              <w:t>:</w:t>
            </w:r>
            <w:r w:rsidR="00542BCC">
              <w:t xml:space="preserve"> Jerret Fischer</w:t>
            </w:r>
          </w:p>
          <w:p w14:paraId="43DB04A3" w14:textId="48FA1C6E" w:rsidR="00286785" w:rsidRDefault="00542BCC" w:rsidP="003E4C24">
            <w:r>
              <w:t>jerret.fischer@srpnet.com</w:t>
            </w:r>
            <w:r w:rsidR="00286785">
              <w:t xml:space="preserve"> </w:t>
            </w:r>
          </w:p>
        </w:tc>
        <w:tc>
          <w:tcPr>
            <w:tcW w:w="4675" w:type="dxa"/>
            <w:gridSpan w:val="2"/>
          </w:tcPr>
          <w:p w14:paraId="444DC6AB" w14:textId="77777777" w:rsidR="00286785" w:rsidRPr="00651CDC" w:rsidRDefault="00286785" w:rsidP="003E4C24">
            <w:r>
              <w:rPr>
                <w:b/>
                <w:bCs/>
              </w:rPr>
              <w:t xml:space="preserve">Co-Sponsor: </w:t>
            </w:r>
          </w:p>
        </w:tc>
      </w:tr>
      <w:tr w:rsidR="00286785" w14:paraId="3993624E" w14:textId="77777777" w:rsidTr="003E4C24">
        <w:tc>
          <w:tcPr>
            <w:tcW w:w="9350" w:type="dxa"/>
            <w:gridSpan w:val="4"/>
          </w:tcPr>
          <w:p w14:paraId="7409DDEA" w14:textId="01A11F86" w:rsidR="00286785" w:rsidRPr="00C329E4" w:rsidRDefault="00286785" w:rsidP="003E4C24">
            <w:r w:rsidRPr="00F64D69">
              <w:rPr>
                <w:b/>
                <w:bCs/>
              </w:rPr>
              <w:t>Summary</w:t>
            </w:r>
            <w:r>
              <w:t xml:space="preserve">: </w:t>
            </w:r>
            <w:r w:rsidR="00FC4EF0" w:rsidRPr="00FC4EF0">
              <w:t>Update Process for Load Growth Factor in BPM 103</w:t>
            </w:r>
          </w:p>
        </w:tc>
      </w:tr>
      <w:tr w:rsidR="00286785" w14:paraId="3621CB56" w14:textId="77777777" w:rsidTr="003E4C24">
        <w:tc>
          <w:tcPr>
            <w:tcW w:w="9350" w:type="dxa"/>
            <w:gridSpan w:val="4"/>
          </w:tcPr>
          <w:p w14:paraId="1ABC1F18" w14:textId="77777777" w:rsidR="00286785" w:rsidRDefault="00286785" w:rsidP="003E4C24">
            <w:pPr>
              <w:rPr>
                <w:b/>
                <w:bCs/>
              </w:rPr>
            </w:pPr>
            <w:r>
              <w:rPr>
                <w:b/>
                <w:bCs/>
              </w:rPr>
              <w:t xml:space="preserve">Description of the issue: </w:t>
            </w:r>
          </w:p>
          <w:p w14:paraId="662F0D65" w14:textId="3F492CB5" w:rsidR="00FC4EF0" w:rsidRPr="00FC4EF0" w:rsidRDefault="00FC4EF0" w:rsidP="003E4C24">
            <w:r w:rsidRPr="00FC4EF0">
              <w:t>The current 1.1% Load Growth Rate specified in BPM 103 is not reflective of recent trends and does not account for localized and evolving growth trends such as industrial onshoring and data center expansions, which have led to significant increases in demand. Without a mechanism for regular updates, this growth rate may quickly become outdated, leading to inaccurate forward showing requirements and potential resource adequacy challenges.</w:t>
            </w:r>
          </w:p>
        </w:tc>
      </w:tr>
      <w:tr w:rsidR="00286785" w14:paraId="797F3242" w14:textId="77777777" w:rsidTr="003E4C24">
        <w:tc>
          <w:tcPr>
            <w:tcW w:w="9350" w:type="dxa"/>
            <w:gridSpan w:val="4"/>
          </w:tcPr>
          <w:p w14:paraId="49826E72" w14:textId="77777777" w:rsidR="00286785" w:rsidRPr="006008A2" w:rsidRDefault="00286785" w:rsidP="003E4C24">
            <w:r>
              <w:rPr>
                <w:b/>
                <w:bCs/>
              </w:rPr>
              <w:t xml:space="preserve">Proposed solution to the issue described: </w:t>
            </w:r>
          </w:p>
          <w:p w14:paraId="2BD3DAD7" w14:textId="32A7F648" w:rsidR="00286785" w:rsidRPr="00AB7637" w:rsidRDefault="00EC1CE3" w:rsidP="00EC1CE3">
            <w:r w:rsidRPr="00EC1CE3">
              <w:t>Implement a process for annual updates to the Load Growth Factor by incorporating updates based on the latest data and growth patterns.</w:t>
            </w:r>
          </w:p>
        </w:tc>
      </w:tr>
      <w:tr w:rsidR="00286785" w14:paraId="70E06F36" w14:textId="77777777" w:rsidTr="003E4C24">
        <w:tc>
          <w:tcPr>
            <w:tcW w:w="9350" w:type="dxa"/>
            <w:gridSpan w:val="4"/>
          </w:tcPr>
          <w:p w14:paraId="1FB80B1C" w14:textId="77777777" w:rsidR="00286785" w:rsidRDefault="00286785" w:rsidP="003E4C24">
            <w:pPr>
              <w:rPr>
                <w:b/>
                <w:bCs/>
              </w:rPr>
            </w:pPr>
            <w:r>
              <w:rPr>
                <w:b/>
                <w:bCs/>
              </w:rPr>
              <w:t>Specific document and language you would like changed:</w:t>
            </w:r>
          </w:p>
          <w:p w14:paraId="22B83F07" w14:textId="77777777" w:rsidR="00EC1CE3" w:rsidRPr="00FC4EF0" w:rsidRDefault="00EC1CE3" w:rsidP="00EC1CE3">
            <w:r w:rsidRPr="00FC4EF0">
              <w:t>BPM 103</w:t>
            </w:r>
            <w:r>
              <w:t xml:space="preserve"> </w:t>
            </w:r>
            <w:r w:rsidRPr="00FC4EF0">
              <w:t>Section 5.1 – Established Growth Rate. </w:t>
            </w:r>
          </w:p>
          <w:p w14:paraId="728EF1D5" w14:textId="1156B887" w:rsidR="00286785" w:rsidRPr="003E595A" w:rsidRDefault="00EC1CE3" w:rsidP="00EC1CE3">
            <w:r w:rsidRPr="00FC4EF0">
              <w:t>The language currently indicates that updates may occur but does not specify a frequency or mechanism for regular reviews.</w:t>
            </w:r>
          </w:p>
        </w:tc>
      </w:tr>
      <w:tr w:rsidR="00286785" w14:paraId="07DF88E5" w14:textId="77777777" w:rsidTr="003E4C24">
        <w:tc>
          <w:tcPr>
            <w:tcW w:w="9350" w:type="dxa"/>
            <w:gridSpan w:val="4"/>
          </w:tcPr>
          <w:p w14:paraId="6D176E1D" w14:textId="77777777" w:rsidR="00286785" w:rsidRDefault="00286785" w:rsidP="003E4C24">
            <w:pPr>
              <w:rPr>
                <w:b/>
                <w:bCs/>
              </w:rPr>
            </w:pPr>
            <w:r>
              <w:rPr>
                <w:b/>
                <w:bCs/>
              </w:rPr>
              <w:t xml:space="preserve">Suggestion for how language could be updated to address </w:t>
            </w:r>
            <w:proofErr w:type="gramStart"/>
            <w:r>
              <w:rPr>
                <w:b/>
                <w:bCs/>
              </w:rPr>
              <w:t>issue</w:t>
            </w:r>
            <w:proofErr w:type="gramEnd"/>
            <w:r>
              <w:rPr>
                <w:b/>
                <w:bCs/>
              </w:rPr>
              <w:t>:</w:t>
            </w:r>
          </w:p>
          <w:p w14:paraId="36E84659" w14:textId="6953553E" w:rsidR="00286785" w:rsidRPr="004A50B4" w:rsidRDefault="00721A9F" w:rsidP="00721A9F">
            <w:pPr>
              <w:tabs>
                <w:tab w:val="left" w:pos="1530"/>
              </w:tabs>
            </w:pPr>
            <w:r w:rsidRPr="00721A9F">
              <w:t xml:space="preserve">The 1.1% Load Growth Factor will be reviewed annually to incorporate the latest available data, including regional and sub-regional growth forecasts. Updates will ensure the Load Growth Factor reflects evolving trends and </w:t>
            </w:r>
            <w:proofErr w:type="gramStart"/>
            <w:r w:rsidRPr="00721A9F">
              <w:t>support</w:t>
            </w:r>
            <w:proofErr w:type="gramEnd"/>
            <w:r w:rsidRPr="00721A9F">
              <w:t xml:space="preserve"> equitable and accurate resource adequacy calculations across WRAP participants.</w:t>
            </w:r>
          </w:p>
        </w:tc>
      </w:tr>
      <w:tr w:rsidR="00286785" w14:paraId="76B8B8DF" w14:textId="77777777" w:rsidTr="003E4C24">
        <w:tc>
          <w:tcPr>
            <w:tcW w:w="9350" w:type="dxa"/>
            <w:gridSpan w:val="4"/>
          </w:tcPr>
          <w:p w14:paraId="25937463" w14:textId="77777777" w:rsidR="00286785" w:rsidRDefault="00286785" w:rsidP="003E4C24">
            <w:r>
              <w:rPr>
                <w:b/>
                <w:bCs/>
              </w:rPr>
              <w:t>Describe the benefits that will be realized from this change:</w:t>
            </w:r>
          </w:p>
          <w:p w14:paraId="24E4C079" w14:textId="42AE3ECC" w:rsidR="00286785" w:rsidRPr="00A5483E" w:rsidRDefault="00721A9F" w:rsidP="003E4C24">
            <w:r w:rsidRPr="00721A9F">
              <w:t xml:space="preserve">Regular updates to the Load Growth Factor will ensure that </w:t>
            </w:r>
            <w:proofErr w:type="gramStart"/>
            <w:r w:rsidRPr="00721A9F">
              <w:t>forward showing</w:t>
            </w:r>
            <w:proofErr w:type="gramEnd"/>
            <w:r w:rsidRPr="00721A9F">
              <w:t xml:space="preserve"> requirements reflect real-world conditions. Additionally, this process will reduce the risk of underestimating future resource needs, supporting the program's overarching goal of maintaining regional resource adequacy.</w:t>
            </w:r>
          </w:p>
        </w:tc>
      </w:tr>
      <w:tr w:rsidR="00286785" w14:paraId="5306EE8C" w14:textId="77777777" w:rsidTr="003E4C24">
        <w:tc>
          <w:tcPr>
            <w:tcW w:w="9350" w:type="dxa"/>
            <w:gridSpan w:val="4"/>
          </w:tcPr>
          <w:p w14:paraId="279937D4" w14:textId="77777777" w:rsidR="00286785" w:rsidRDefault="00286785" w:rsidP="003E4C24">
            <w:pPr>
              <w:rPr>
                <w:b/>
                <w:bCs/>
              </w:rPr>
            </w:pPr>
            <w:r>
              <w:rPr>
                <w:b/>
                <w:bCs/>
              </w:rPr>
              <w:t>Any data/information that would characterize the importance of the issue:</w:t>
            </w:r>
          </w:p>
          <w:p w14:paraId="3BFF7A63" w14:textId="27E0B445" w:rsidR="00286785" w:rsidRPr="00324C95" w:rsidRDefault="00721A9F" w:rsidP="003E4C24">
            <w:r w:rsidRPr="00721A9F">
              <w:t>The 2023 Western Assessment of Resource Adequacy report shows a 1.64% compound annual growth rate for peak demand and a 1.74% growth rate for energy from 2024-2033. Additionally, the 2024 Western Assessment of Resource Adequacy report prominently features load growth.</w:t>
            </w:r>
          </w:p>
        </w:tc>
      </w:tr>
    </w:tbl>
    <w:p w14:paraId="50CF326C" w14:textId="77777777" w:rsidR="007F7440" w:rsidRDefault="007F7440">
      <w:pPr>
        <w:rPr>
          <w:rFonts w:eastAsiaTheme="majorEastAsia"/>
        </w:rPr>
      </w:pPr>
      <w:r>
        <w:rPr>
          <w:rFonts w:eastAsiaTheme="majorEastAsia"/>
        </w:rPr>
        <w:br w:type="page"/>
      </w:r>
    </w:p>
    <w:tbl>
      <w:tblPr>
        <w:tblStyle w:val="TableGrid"/>
        <w:tblW w:w="0" w:type="auto"/>
        <w:tblLook w:val="04A0" w:firstRow="1" w:lastRow="0" w:firstColumn="1" w:lastColumn="0" w:noHBand="0" w:noVBand="1"/>
      </w:tblPr>
      <w:tblGrid>
        <w:gridCol w:w="3116"/>
        <w:gridCol w:w="1559"/>
        <w:gridCol w:w="1558"/>
        <w:gridCol w:w="3117"/>
      </w:tblGrid>
      <w:tr w:rsidR="007F7440" w14:paraId="7CA9D026" w14:textId="77777777" w:rsidTr="003E4C24">
        <w:tc>
          <w:tcPr>
            <w:tcW w:w="9350" w:type="dxa"/>
            <w:gridSpan w:val="4"/>
          </w:tcPr>
          <w:p w14:paraId="37CE33E6" w14:textId="20C89608" w:rsidR="007F7440" w:rsidRDefault="007F7440" w:rsidP="003E4C24">
            <w:pPr>
              <w:pStyle w:val="Heading1"/>
            </w:pPr>
            <w:bookmarkStart w:id="47" w:name="_Toc189746900"/>
            <w:bookmarkStart w:id="48" w:name="_Toc189840326"/>
            <w:r>
              <w:lastRenderedPageBreak/>
              <w:t>2024-CRF-0</w:t>
            </w:r>
            <w:r w:rsidR="00F73C31">
              <w:t>1</w:t>
            </w:r>
            <w:r>
              <w:t xml:space="preserve">2 / </w:t>
            </w:r>
            <w:r w:rsidR="00F73C31">
              <w:t>APS</w:t>
            </w:r>
            <w:r>
              <w:t xml:space="preserve"> / </w:t>
            </w:r>
            <w:r w:rsidR="00E62D28">
              <w:t>ELCC by Vintage</w:t>
            </w:r>
            <w:bookmarkEnd w:id="47"/>
            <w:bookmarkEnd w:id="48"/>
          </w:p>
        </w:tc>
      </w:tr>
      <w:tr w:rsidR="007F7440" w14:paraId="1C69CB27" w14:textId="77777777" w:rsidTr="003E4C24">
        <w:tc>
          <w:tcPr>
            <w:tcW w:w="3116" w:type="dxa"/>
          </w:tcPr>
          <w:p w14:paraId="19A33A97" w14:textId="77777777" w:rsidR="007F7440" w:rsidRPr="00FD78B3" w:rsidRDefault="007F7440" w:rsidP="003E4C24">
            <w:pPr>
              <w:rPr>
                <w:b/>
                <w:bCs/>
                <w:color w:val="153D63" w:themeColor="text2" w:themeTint="E6"/>
              </w:rPr>
            </w:pPr>
            <w:r w:rsidRPr="00FD78B3">
              <w:rPr>
                <w:b/>
                <w:bCs/>
                <w:color w:val="153D63" w:themeColor="text2" w:themeTint="E6"/>
              </w:rPr>
              <w:t xml:space="preserve">WRAP Area: </w:t>
            </w:r>
          </w:p>
          <w:p w14:paraId="260B8534" w14:textId="7FDC12D1" w:rsidR="007F7440" w:rsidRPr="00FD78B3" w:rsidRDefault="00A77E4C" w:rsidP="003E4C24">
            <w:pPr>
              <w:rPr>
                <w:color w:val="153D63" w:themeColor="text2" w:themeTint="E6"/>
              </w:rPr>
            </w:pPr>
            <w:r>
              <w:rPr>
                <w:color w:val="153D63" w:themeColor="text2" w:themeTint="E6"/>
              </w:rPr>
              <w:t>Resource Accreditation</w:t>
            </w:r>
          </w:p>
        </w:tc>
        <w:tc>
          <w:tcPr>
            <w:tcW w:w="3117" w:type="dxa"/>
            <w:gridSpan w:val="2"/>
          </w:tcPr>
          <w:p w14:paraId="2301E745" w14:textId="26F4EF50" w:rsidR="007F7440" w:rsidRDefault="00C1275B" w:rsidP="003E4C24">
            <w:pPr>
              <w:rPr>
                <w:color w:val="153D63" w:themeColor="text2" w:themeTint="E6"/>
              </w:rPr>
            </w:pPr>
            <w:r>
              <w:rPr>
                <w:b/>
                <w:bCs/>
                <w:color w:val="153D63" w:themeColor="text2" w:themeTint="E6"/>
              </w:rPr>
              <w:t>Tariff</w:t>
            </w:r>
            <w:r w:rsidR="007F7440" w:rsidRPr="004E4785">
              <w:rPr>
                <w:b/>
                <w:bCs/>
                <w:color w:val="153D63" w:themeColor="text2" w:themeTint="E6"/>
              </w:rPr>
              <w:t xml:space="preserve"> Change</w:t>
            </w:r>
            <w:r w:rsidR="007F7440" w:rsidRPr="00FD78B3">
              <w:rPr>
                <w:color w:val="153D63" w:themeColor="text2" w:themeTint="E6"/>
              </w:rPr>
              <w:t>:</w:t>
            </w:r>
            <w:r w:rsidR="007F7440">
              <w:rPr>
                <w:color w:val="153D63" w:themeColor="text2" w:themeTint="E6"/>
              </w:rPr>
              <w:t xml:space="preserve"> </w:t>
            </w:r>
          </w:p>
          <w:p w14:paraId="1B121191" w14:textId="20AF9A4E" w:rsidR="007F7440" w:rsidRPr="00FD78B3" w:rsidRDefault="00772EFB" w:rsidP="003E4C24">
            <w:pPr>
              <w:rPr>
                <w:color w:val="153D63" w:themeColor="text2" w:themeTint="E6"/>
              </w:rPr>
            </w:pPr>
            <w:r>
              <w:rPr>
                <w:color w:val="153D63" w:themeColor="text2" w:themeTint="E6"/>
              </w:rPr>
              <w:t>Yes</w:t>
            </w:r>
          </w:p>
        </w:tc>
        <w:tc>
          <w:tcPr>
            <w:tcW w:w="3117" w:type="dxa"/>
          </w:tcPr>
          <w:p w14:paraId="1F38B6CD" w14:textId="77777777" w:rsidR="007F7440" w:rsidRDefault="007F7440" w:rsidP="003E4C24">
            <w:pPr>
              <w:rPr>
                <w:b/>
                <w:bCs/>
                <w:color w:val="153D63" w:themeColor="text2" w:themeTint="E6"/>
              </w:rPr>
            </w:pPr>
            <w:r w:rsidRPr="004E4785">
              <w:rPr>
                <w:b/>
                <w:bCs/>
                <w:color w:val="153D63" w:themeColor="text2" w:themeTint="E6"/>
              </w:rPr>
              <w:t>Time Score:</w:t>
            </w:r>
          </w:p>
          <w:p w14:paraId="5DC9A91E" w14:textId="27345207" w:rsidR="007F7440" w:rsidRPr="004E4785" w:rsidRDefault="00772EFB" w:rsidP="003E4C24">
            <w:pPr>
              <w:rPr>
                <w:color w:val="153D63" w:themeColor="text2" w:themeTint="E6"/>
              </w:rPr>
            </w:pPr>
            <w:r>
              <w:rPr>
                <w:color w:val="153D63" w:themeColor="text2" w:themeTint="E6"/>
              </w:rPr>
              <w:t>Long</w:t>
            </w:r>
          </w:p>
        </w:tc>
      </w:tr>
      <w:tr w:rsidR="007F7440" w14:paraId="4E95D80C" w14:textId="77777777" w:rsidTr="003E4C24">
        <w:tc>
          <w:tcPr>
            <w:tcW w:w="4675" w:type="dxa"/>
            <w:gridSpan w:val="2"/>
          </w:tcPr>
          <w:p w14:paraId="21A3562F" w14:textId="1F1AA936" w:rsidR="007F7440" w:rsidRDefault="007F7440" w:rsidP="003E4C24">
            <w:r w:rsidRPr="00016218">
              <w:rPr>
                <w:b/>
                <w:bCs/>
              </w:rPr>
              <w:t>Lead Sponsor</w:t>
            </w:r>
            <w:r>
              <w:t xml:space="preserve">: </w:t>
            </w:r>
            <w:r w:rsidR="00906721">
              <w:t>Brandon Holmes</w:t>
            </w:r>
          </w:p>
          <w:p w14:paraId="122E19B3" w14:textId="0C248C70" w:rsidR="007F7440" w:rsidRDefault="00906721" w:rsidP="003E4C24">
            <w:r>
              <w:t>brandon.holmes@aps.com</w:t>
            </w:r>
          </w:p>
        </w:tc>
        <w:tc>
          <w:tcPr>
            <w:tcW w:w="4675" w:type="dxa"/>
            <w:gridSpan w:val="2"/>
          </w:tcPr>
          <w:p w14:paraId="0D9CAC97" w14:textId="77777777" w:rsidR="007F7440" w:rsidRPr="00651CDC" w:rsidRDefault="007F7440" w:rsidP="003E4C24">
            <w:r>
              <w:rPr>
                <w:b/>
                <w:bCs/>
              </w:rPr>
              <w:t xml:space="preserve">Co-Sponsor: </w:t>
            </w:r>
          </w:p>
        </w:tc>
      </w:tr>
      <w:tr w:rsidR="007F7440" w14:paraId="1B037B5A" w14:textId="77777777" w:rsidTr="003E4C24">
        <w:tc>
          <w:tcPr>
            <w:tcW w:w="9350" w:type="dxa"/>
            <w:gridSpan w:val="4"/>
          </w:tcPr>
          <w:p w14:paraId="658E313A" w14:textId="7231BDDF" w:rsidR="007F7440" w:rsidRPr="00C329E4" w:rsidRDefault="007F7440" w:rsidP="003E4C24">
            <w:r w:rsidRPr="00F64D69">
              <w:rPr>
                <w:b/>
                <w:bCs/>
              </w:rPr>
              <w:t>Summary</w:t>
            </w:r>
            <w:r>
              <w:t>:</w:t>
            </w:r>
            <w:r w:rsidR="00C12415" w:rsidRPr="00C12415">
              <w:rPr>
                <w:rFonts w:ascii="ProximaNova-Regular" w:hAnsi="ProximaNova-Regular"/>
                <w:color w:val="212529"/>
                <w:sz w:val="21"/>
                <w:szCs w:val="21"/>
                <w:shd w:val="clear" w:color="auto" w:fill="D3D3D3"/>
              </w:rPr>
              <w:t xml:space="preserve"> </w:t>
            </w:r>
            <w:proofErr w:type="gramStart"/>
            <w:r w:rsidR="00C12415" w:rsidRPr="00C12415">
              <w:t>Grouping of</w:t>
            </w:r>
            <w:proofErr w:type="gramEnd"/>
            <w:r w:rsidR="00C12415" w:rsidRPr="00C12415">
              <w:t xml:space="preserve"> resources by vintage in QCC accreditation</w:t>
            </w:r>
            <w:r w:rsidR="00C12415">
              <w:t>.</w:t>
            </w:r>
          </w:p>
        </w:tc>
      </w:tr>
      <w:tr w:rsidR="007F7440" w14:paraId="674C3E19" w14:textId="77777777" w:rsidTr="003E4C24">
        <w:tc>
          <w:tcPr>
            <w:tcW w:w="9350" w:type="dxa"/>
            <w:gridSpan w:val="4"/>
          </w:tcPr>
          <w:p w14:paraId="43C36FCB" w14:textId="77777777" w:rsidR="007F7440" w:rsidRDefault="007F7440" w:rsidP="003E4C24">
            <w:pPr>
              <w:rPr>
                <w:b/>
                <w:bCs/>
              </w:rPr>
            </w:pPr>
            <w:r>
              <w:rPr>
                <w:b/>
                <w:bCs/>
              </w:rPr>
              <w:t xml:space="preserve">Description of the issue: </w:t>
            </w:r>
          </w:p>
          <w:p w14:paraId="6F9FFA25" w14:textId="7F339ADC" w:rsidR="00C12415" w:rsidRPr="006008A2" w:rsidRDefault="00C12415" w:rsidP="003E4C24">
            <w:r w:rsidRPr="00C12415">
              <w:t>All resources QCC are computed each season resulting in (1) existing resource QCC values being reduced by the addition of new resources and (2) new resources being credited higher QCCs than they incrementally provide to the system.  This request is to consider groupings of existing resources by vintage (</w:t>
            </w:r>
            <w:proofErr w:type="gramStart"/>
            <w:r w:rsidRPr="00C12415">
              <w:t>2 to 5 year</w:t>
            </w:r>
            <w:proofErr w:type="gramEnd"/>
            <w:r w:rsidRPr="00C12415">
              <w:t xml:space="preserve"> windows) in QCC accreditation to better align new resources with their incremental QCC to the system and retain appropriate QCC for existing investments.</w:t>
            </w:r>
          </w:p>
        </w:tc>
      </w:tr>
      <w:tr w:rsidR="007F7440" w14:paraId="5EDFE663" w14:textId="77777777" w:rsidTr="003E4C24">
        <w:tc>
          <w:tcPr>
            <w:tcW w:w="9350" w:type="dxa"/>
            <w:gridSpan w:val="4"/>
          </w:tcPr>
          <w:p w14:paraId="72F72B35" w14:textId="77777777" w:rsidR="007F7440" w:rsidRPr="006008A2" w:rsidRDefault="007F7440" w:rsidP="003E4C24">
            <w:r>
              <w:rPr>
                <w:b/>
                <w:bCs/>
              </w:rPr>
              <w:t xml:space="preserve">Proposed solution to the issue described: </w:t>
            </w:r>
          </w:p>
          <w:p w14:paraId="4A9D4332" w14:textId="77777777" w:rsidR="00C12415" w:rsidRPr="00C12415" w:rsidRDefault="00C12415" w:rsidP="00C12415">
            <w:r w:rsidRPr="00C12415">
              <w:t>While we remain open to alternate solutions, we understand the impact of the order in which resources are evaluated for QCC accreditation and believe separating vintage-based groupings to be a viable approach to establishing appropriate QCCs for existing resources apart from incremental resources.</w:t>
            </w:r>
          </w:p>
          <w:p w14:paraId="0E27ABDC" w14:textId="77777777" w:rsidR="00C12415" w:rsidRPr="00C12415" w:rsidRDefault="00C12415" w:rsidP="00C12415">
            <w:r w:rsidRPr="00C12415">
              <w:t>Seasonal QCCs would continue to be studied as per the existing program</w:t>
            </w:r>
            <w:proofErr w:type="gramStart"/>
            <w:r w:rsidRPr="00C12415">
              <w:t xml:space="preserve"> however</w:t>
            </w:r>
            <w:proofErr w:type="gramEnd"/>
            <w:r w:rsidRPr="00C12415">
              <w:t xml:space="preserve"> accreditation would be performed sequentially with older groupings of resources receiving their accreditation </w:t>
            </w:r>
            <w:proofErr w:type="gramStart"/>
            <w:r w:rsidRPr="00C12415">
              <w:t>first</w:t>
            </w:r>
            <w:proofErr w:type="gramEnd"/>
            <w:r w:rsidRPr="00C12415">
              <w:t xml:space="preserve"> </w:t>
            </w:r>
            <w:proofErr w:type="gramStart"/>
            <w:r w:rsidRPr="00C12415">
              <w:t>resulting</w:t>
            </w:r>
            <w:proofErr w:type="gramEnd"/>
            <w:r w:rsidRPr="00C12415">
              <w:t xml:space="preserve"> QCCs more consistent with the time of the investment for both older newer resources.</w:t>
            </w:r>
          </w:p>
          <w:p w14:paraId="0F418033" w14:textId="1DEE49B7" w:rsidR="007F7440" w:rsidRPr="00AB7637" w:rsidRDefault="00C12415" w:rsidP="003E4C24">
            <w:proofErr w:type="gramStart"/>
            <w:r w:rsidRPr="00C12415">
              <w:t>Noting</w:t>
            </w:r>
            <w:proofErr w:type="gramEnd"/>
            <w:r w:rsidRPr="00C12415">
              <w:t xml:space="preserve"> vintage-based groupings should be based on inclusion in the WRAP program/studies and not the in-service date of the resources as resources may come in and out of the program.</w:t>
            </w:r>
          </w:p>
        </w:tc>
      </w:tr>
      <w:tr w:rsidR="007F7440" w14:paraId="1F5C628E" w14:textId="77777777" w:rsidTr="003E4C24">
        <w:tc>
          <w:tcPr>
            <w:tcW w:w="9350" w:type="dxa"/>
            <w:gridSpan w:val="4"/>
          </w:tcPr>
          <w:p w14:paraId="4E965734" w14:textId="77777777" w:rsidR="007F7440" w:rsidRDefault="007F7440" w:rsidP="003E4C24">
            <w:pPr>
              <w:rPr>
                <w:b/>
                <w:bCs/>
              </w:rPr>
            </w:pPr>
            <w:r>
              <w:rPr>
                <w:b/>
                <w:bCs/>
              </w:rPr>
              <w:t>Specific document and language you would like changed:</w:t>
            </w:r>
          </w:p>
          <w:p w14:paraId="789C4DAA" w14:textId="598EC5D9" w:rsidR="007F7440" w:rsidRPr="003E595A" w:rsidRDefault="00C12415" w:rsidP="003E4C24">
            <w:r>
              <w:t>-</w:t>
            </w:r>
          </w:p>
        </w:tc>
      </w:tr>
      <w:tr w:rsidR="007F7440" w14:paraId="23450E00" w14:textId="77777777" w:rsidTr="003E4C24">
        <w:tc>
          <w:tcPr>
            <w:tcW w:w="9350" w:type="dxa"/>
            <w:gridSpan w:val="4"/>
          </w:tcPr>
          <w:p w14:paraId="363D955D" w14:textId="77777777" w:rsidR="007F7440" w:rsidRDefault="007F7440" w:rsidP="003E4C24">
            <w:pPr>
              <w:rPr>
                <w:b/>
                <w:bCs/>
              </w:rPr>
            </w:pPr>
            <w:r>
              <w:rPr>
                <w:b/>
                <w:bCs/>
              </w:rPr>
              <w:t xml:space="preserve">Suggestion for how language could be updated to address </w:t>
            </w:r>
            <w:proofErr w:type="gramStart"/>
            <w:r>
              <w:rPr>
                <w:b/>
                <w:bCs/>
              </w:rPr>
              <w:t>issue</w:t>
            </w:r>
            <w:proofErr w:type="gramEnd"/>
            <w:r>
              <w:rPr>
                <w:b/>
                <w:bCs/>
              </w:rPr>
              <w:t>:</w:t>
            </w:r>
          </w:p>
          <w:p w14:paraId="7397D7F7" w14:textId="554903E7" w:rsidR="007F7440" w:rsidRPr="004A50B4" w:rsidRDefault="00C12415" w:rsidP="003E4C24">
            <w:r>
              <w:t>-</w:t>
            </w:r>
          </w:p>
        </w:tc>
      </w:tr>
      <w:tr w:rsidR="007F7440" w14:paraId="3E962A55" w14:textId="77777777" w:rsidTr="003E4C24">
        <w:tc>
          <w:tcPr>
            <w:tcW w:w="9350" w:type="dxa"/>
            <w:gridSpan w:val="4"/>
          </w:tcPr>
          <w:p w14:paraId="2B36E5CD" w14:textId="77777777" w:rsidR="007F7440" w:rsidRDefault="007F7440" w:rsidP="003E4C24">
            <w:r>
              <w:rPr>
                <w:b/>
                <w:bCs/>
              </w:rPr>
              <w:t>Describe the benefits that will be realized from this change:</w:t>
            </w:r>
          </w:p>
          <w:p w14:paraId="741AAE1B" w14:textId="47660FC2" w:rsidR="007F7440" w:rsidRPr="00A5483E" w:rsidRDefault="00AF4C09" w:rsidP="003E4C24">
            <w:r w:rsidRPr="00AF4C09">
              <w:t>More appropriate accreditation for both existing and new resources.  Increased certainty in resource adequacy planning by preventing accreditation leakage from over-accrediting new resources.  More accurate attainment of reliability goals of the program by reducing over-accreditation new resources.  Better insulated parties from impacts of other WRAP participants deployment of the resources that would otherwise diminish the value of existing investments.  Align incremental resources with their incremental reliability value.</w:t>
            </w:r>
          </w:p>
        </w:tc>
      </w:tr>
      <w:tr w:rsidR="007F7440" w14:paraId="5B3B4779" w14:textId="77777777" w:rsidTr="003E4C24">
        <w:tc>
          <w:tcPr>
            <w:tcW w:w="9350" w:type="dxa"/>
            <w:gridSpan w:val="4"/>
          </w:tcPr>
          <w:p w14:paraId="21E2E7B5" w14:textId="77777777" w:rsidR="007F7440" w:rsidRDefault="007F7440" w:rsidP="003E4C24">
            <w:pPr>
              <w:rPr>
                <w:b/>
                <w:bCs/>
              </w:rPr>
            </w:pPr>
            <w:r>
              <w:rPr>
                <w:b/>
                <w:bCs/>
              </w:rPr>
              <w:t>Any data/information that would characterize the importance of the issue:</w:t>
            </w:r>
          </w:p>
          <w:p w14:paraId="18DFC2A7" w14:textId="7951FD4F" w:rsidR="007F7440" w:rsidRPr="00324C95" w:rsidRDefault="00AF4C09" w:rsidP="003E4C24">
            <w:r>
              <w:t>-</w:t>
            </w:r>
          </w:p>
        </w:tc>
      </w:tr>
    </w:tbl>
    <w:p w14:paraId="66E6B35B" w14:textId="77777777" w:rsidR="00721A9F" w:rsidRDefault="00721A9F">
      <w:pPr>
        <w:rPr>
          <w:rFonts w:eastAsiaTheme="majorEastAsia"/>
        </w:rPr>
      </w:pPr>
      <w:r>
        <w:rPr>
          <w:rFonts w:eastAsiaTheme="majorEastAsia"/>
        </w:rPr>
        <w:br w:type="page"/>
      </w:r>
    </w:p>
    <w:tbl>
      <w:tblPr>
        <w:tblStyle w:val="TableGrid"/>
        <w:tblW w:w="0" w:type="auto"/>
        <w:tblLook w:val="04A0" w:firstRow="1" w:lastRow="0" w:firstColumn="1" w:lastColumn="0" w:noHBand="0" w:noVBand="1"/>
      </w:tblPr>
      <w:tblGrid>
        <w:gridCol w:w="3116"/>
        <w:gridCol w:w="1559"/>
        <w:gridCol w:w="1558"/>
        <w:gridCol w:w="3117"/>
      </w:tblGrid>
      <w:tr w:rsidR="00721A9F" w14:paraId="431DAFF7" w14:textId="77777777" w:rsidTr="003E4C24">
        <w:tc>
          <w:tcPr>
            <w:tcW w:w="9350" w:type="dxa"/>
            <w:gridSpan w:val="4"/>
          </w:tcPr>
          <w:p w14:paraId="105FB7DF" w14:textId="4E2C8CD4" w:rsidR="00721A9F" w:rsidRDefault="00721A9F" w:rsidP="003E4C24">
            <w:pPr>
              <w:pStyle w:val="Heading1"/>
            </w:pPr>
            <w:bookmarkStart w:id="49" w:name="_Toc189746901"/>
            <w:bookmarkStart w:id="50" w:name="_Toc189840327"/>
            <w:r>
              <w:lastRenderedPageBreak/>
              <w:t>2024-CRF-0</w:t>
            </w:r>
            <w:r w:rsidR="00716CF6">
              <w:t>13</w:t>
            </w:r>
            <w:r>
              <w:t xml:space="preserve"> / </w:t>
            </w:r>
            <w:r w:rsidR="00042227">
              <w:t>IPC</w:t>
            </w:r>
            <w:r>
              <w:t xml:space="preserve"> / </w:t>
            </w:r>
            <w:r w:rsidR="00716CF6">
              <w:t>Capability Testing Off-Season</w:t>
            </w:r>
            <w:bookmarkEnd w:id="49"/>
            <w:bookmarkEnd w:id="50"/>
          </w:p>
        </w:tc>
      </w:tr>
      <w:tr w:rsidR="00721A9F" w14:paraId="3951C8CE" w14:textId="77777777" w:rsidTr="003E4C24">
        <w:tc>
          <w:tcPr>
            <w:tcW w:w="3116" w:type="dxa"/>
          </w:tcPr>
          <w:p w14:paraId="64F47B48" w14:textId="77777777" w:rsidR="00721A9F" w:rsidRPr="00FD78B3" w:rsidRDefault="00721A9F" w:rsidP="003E4C24">
            <w:pPr>
              <w:rPr>
                <w:b/>
                <w:bCs/>
                <w:color w:val="153D63" w:themeColor="text2" w:themeTint="E6"/>
              </w:rPr>
            </w:pPr>
            <w:r w:rsidRPr="00FD78B3">
              <w:rPr>
                <w:b/>
                <w:bCs/>
                <w:color w:val="153D63" w:themeColor="text2" w:themeTint="E6"/>
              </w:rPr>
              <w:t xml:space="preserve">WRAP Area: </w:t>
            </w:r>
          </w:p>
          <w:p w14:paraId="122A7038" w14:textId="5611F301" w:rsidR="00721A9F" w:rsidRPr="00FD78B3" w:rsidRDefault="00A77E4C" w:rsidP="003E4C24">
            <w:pPr>
              <w:rPr>
                <w:color w:val="153D63" w:themeColor="text2" w:themeTint="E6"/>
              </w:rPr>
            </w:pPr>
            <w:r>
              <w:rPr>
                <w:color w:val="153D63" w:themeColor="text2" w:themeTint="E6"/>
              </w:rPr>
              <w:t>FS Demonstration</w:t>
            </w:r>
          </w:p>
        </w:tc>
        <w:tc>
          <w:tcPr>
            <w:tcW w:w="3117" w:type="dxa"/>
            <w:gridSpan w:val="2"/>
          </w:tcPr>
          <w:p w14:paraId="011FDFE0" w14:textId="5CA52CA5" w:rsidR="00721A9F" w:rsidRDefault="00C1275B" w:rsidP="003E4C24">
            <w:pPr>
              <w:rPr>
                <w:color w:val="153D63" w:themeColor="text2" w:themeTint="E6"/>
              </w:rPr>
            </w:pPr>
            <w:r>
              <w:rPr>
                <w:b/>
                <w:bCs/>
                <w:color w:val="153D63" w:themeColor="text2" w:themeTint="E6"/>
              </w:rPr>
              <w:t>Tariff</w:t>
            </w:r>
            <w:r w:rsidR="00721A9F" w:rsidRPr="004E4785">
              <w:rPr>
                <w:b/>
                <w:bCs/>
                <w:color w:val="153D63" w:themeColor="text2" w:themeTint="E6"/>
              </w:rPr>
              <w:t xml:space="preserve"> Change</w:t>
            </w:r>
            <w:r w:rsidR="00721A9F" w:rsidRPr="00FD78B3">
              <w:rPr>
                <w:color w:val="153D63" w:themeColor="text2" w:themeTint="E6"/>
              </w:rPr>
              <w:t>:</w:t>
            </w:r>
            <w:r w:rsidR="00721A9F">
              <w:rPr>
                <w:color w:val="153D63" w:themeColor="text2" w:themeTint="E6"/>
              </w:rPr>
              <w:t xml:space="preserve"> </w:t>
            </w:r>
          </w:p>
          <w:p w14:paraId="3EDC4B73" w14:textId="229231B2" w:rsidR="00721A9F" w:rsidRPr="00FD78B3" w:rsidRDefault="00604584" w:rsidP="003E4C24">
            <w:pPr>
              <w:rPr>
                <w:color w:val="153D63" w:themeColor="text2" w:themeTint="E6"/>
              </w:rPr>
            </w:pPr>
            <w:r>
              <w:rPr>
                <w:color w:val="153D63" w:themeColor="text2" w:themeTint="E6"/>
              </w:rPr>
              <w:t>No</w:t>
            </w:r>
          </w:p>
        </w:tc>
        <w:tc>
          <w:tcPr>
            <w:tcW w:w="3117" w:type="dxa"/>
          </w:tcPr>
          <w:p w14:paraId="244741AA" w14:textId="77777777" w:rsidR="00721A9F" w:rsidRDefault="00721A9F" w:rsidP="003E4C24">
            <w:pPr>
              <w:rPr>
                <w:b/>
                <w:bCs/>
                <w:color w:val="153D63" w:themeColor="text2" w:themeTint="E6"/>
              </w:rPr>
            </w:pPr>
            <w:r w:rsidRPr="004E4785">
              <w:rPr>
                <w:b/>
                <w:bCs/>
                <w:color w:val="153D63" w:themeColor="text2" w:themeTint="E6"/>
              </w:rPr>
              <w:t>Time Score:</w:t>
            </w:r>
          </w:p>
          <w:p w14:paraId="5CAECF41" w14:textId="0A43EF9B" w:rsidR="00721A9F" w:rsidRPr="004E4785" w:rsidRDefault="00604584" w:rsidP="003E4C24">
            <w:pPr>
              <w:rPr>
                <w:color w:val="153D63" w:themeColor="text2" w:themeTint="E6"/>
              </w:rPr>
            </w:pPr>
            <w:r>
              <w:rPr>
                <w:color w:val="153D63" w:themeColor="text2" w:themeTint="E6"/>
              </w:rPr>
              <w:t>Medium</w:t>
            </w:r>
          </w:p>
        </w:tc>
      </w:tr>
      <w:tr w:rsidR="00721A9F" w14:paraId="2B3CC149" w14:textId="77777777" w:rsidTr="003E4C24">
        <w:tc>
          <w:tcPr>
            <w:tcW w:w="4675" w:type="dxa"/>
            <w:gridSpan w:val="2"/>
          </w:tcPr>
          <w:p w14:paraId="119158A9" w14:textId="7273D028" w:rsidR="00721A9F" w:rsidRDefault="00721A9F" w:rsidP="003E4C24">
            <w:r w:rsidRPr="00016218">
              <w:rPr>
                <w:b/>
                <w:bCs/>
              </w:rPr>
              <w:t>Lead Sponsor</w:t>
            </w:r>
            <w:r>
              <w:t xml:space="preserve">: </w:t>
            </w:r>
            <w:r w:rsidR="00604584">
              <w:t>Nicole Blackwell</w:t>
            </w:r>
          </w:p>
          <w:p w14:paraId="10030C5C" w14:textId="36368CD7" w:rsidR="00721A9F" w:rsidRDefault="00604584" w:rsidP="003E4C24">
            <w:r>
              <w:t>nblackwell</w:t>
            </w:r>
            <w:r w:rsidR="003C0639">
              <w:t>@idahopower.com</w:t>
            </w:r>
          </w:p>
        </w:tc>
        <w:tc>
          <w:tcPr>
            <w:tcW w:w="4675" w:type="dxa"/>
            <w:gridSpan w:val="2"/>
          </w:tcPr>
          <w:p w14:paraId="5FFDEB67" w14:textId="77777777" w:rsidR="00721A9F" w:rsidRPr="00651CDC" w:rsidRDefault="00721A9F" w:rsidP="003E4C24">
            <w:r>
              <w:rPr>
                <w:b/>
                <w:bCs/>
              </w:rPr>
              <w:t xml:space="preserve">Co-Sponsor: </w:t>
            </w:r>
          </w:p>
        </w:tc>
      </w:tr>
      <w:tr w:rsidR="00721A9F" w14:paraId="43C98A2D" w14:textId="77777777" w:rsidTr="003E4C24">
        <w:tc>
          <w:tcPr>
            <w:tcW w:w="9350" w:type="dxa"/>
            <w:gridSpan w:val="4"/>
          </w:tcPr>
          <w:p w14:paraId="54CFD274" w14:textId="30363F64" w:rsidR="00721A9F" w:rsidRPr="00C329E4" w:rsidRDefault="00721A9F" w:rsidP="003E4C24">
            <w:r w:rsidRPr="00F64D69">
              <w:rPr>
                <w:b/>
                <w:bCs/>
              </w:rPr>
              <w:t>Summary</w:t>
            </w:r>
            <w:r>
              <w:t xml:space="preserve">: </w:t>
            </w:r>
            <w:r w:rsidR="003C0639" w:rsidRPr="003C0639">
              <w:t>Capability Testing Requirements are Restrictive</w:t>
            </w:r>
          </w:p>
        </w:tc>
      </w:tr>
      <w:tr w:rsidR="00721A9F" w14:paraId="53A537D3" w14:textId="77777777" w:rsidTr="003E4C24">
        <w:tc>
          <w:tcPr>
            <w:tcW w:w="9350" w:type="dxa"/>
            <w:gridSpan w:val="4"/>
          </w:tcPr>
          <w:p w14:paraId="05E75158" w14:textId="77777777" w:rsidR="00721A9F" w:rsidRDefault="00721A9F" w:rsidP="003E4C24">
            <w:pPr>
              <w:rPr>
                <w:b/>
                <w:bCs/>
              </w:rPr>
            </w:pPr>
            <w:r>
              <w:rPr>
                <w:b/>
                <w:bCs/>
              </w:rPr>
              <w:t xml:space="preserve">Description of the issue: </w:t>
            </w:r>
          </w:p>
          <w:p w14:paraId="25C6B89D" w14:textId="1A22F706" w:rsidR="006B4C74" w:rsidRPr="006008A2" w:rsidRDefault="006B4C74" w:rsidP="003E4C24">
            <w:r w:rsidRPr="006B4C74">
              <w:t xml:space="preserve">Capability testing requirements are too restrictive and leads to existing, performing generation, to not </w:t>
            </w:r>
            <w:proofErr w:type="gramStart"/>
            <w:r w:rsidRPr="006B4C74">
              <w:t>receive</w:t>
            </w:r>
            <w:proofErr w:type="gramEnd"/>
            <w:r w:rsidRPr="006B4C74">
              <w:t xml:space="preserve"> adequate credit in the Forward Showing. Idaho Power does not typically perform capability tests in the summer due to potential operational issues during peak load conditions</w:t>
            </w:r>
            <w:r>
              <w:t>.</w:t>
            </w:r>
          </w:p>
        </w:tc>
      </w:tr>
      <w:tr w:rsidR="00721A9F" w14:paraId="3F49F523" w14:textId="77777777" w:rsidTr="003E4C24">
        <w:tc>
          <w:tcPr>
            <w:tcW w:w="9350" w:type="dxa"/>
            <w:gridSpan w:val="4"/>
          </w:tcPr>
          <w:p w14:paraId="045B7CDD" w14:textId="77777777" w:rsidR="00721A9F" w:rsidRPr="006008A2" w:rsidRDefault="00721A9F" w:rsidP="003E4C24">
            <w:r>
              <w:rPr>
                <w:b/>
                <w:bCs/>
              </w:rPr>
              <w:t xml:space="preserve">Proposed solution to the issue described: </w:t>
            </w:r>
          </w:p>
          <w:p w14:paraId="44D1CA48" w14:textId="5D56BF2D" w:rsidR="00721A9F" w:rsidRPr="00AB7637" w:rsidRDefault="006B4C74" w:rsidP="003E4C24">
            <w:r w:rsidRPr="006B4C74">
              <w:t>BPM 105 should be revised to allow operational data in lieu of a capability test with allowance for unit ambient temperature capacity curves to be applied to data. This approach would still ensure accurate capacity values are reflected in the program, without having to perform capability testing during critical times. </w:t>
            </w:r>
          </w:p>
        </w:tc>
      </w:tr>
      <w:tr w:rsidR="00721A9F" w14:paraId="666913F5" w14:textId="77777777" w:rsidTr="003E4C24">
        <w:tc>
          <w:tcPr>
            <w:tcW w:w="9350" w:type="dxa"/>
            <w:gridSpan w:val="4"/>
          </w:tcPr>
          <w:p w14:paraId="134E1669" w14:textId="77777777" w:rsidR="00721A9F" w:rsidRDefault="00721A9F" w:rsidP="003E4C24">
            <w:pPr>
              <w:rPr>
                <w:b/>
                <w:bCs/>
              </w:rPr>
            </w:pPr>
            <w:r>
              <w:rPr>
                <w:b/>
                <w:bCs/>
              </w:rPr>
              <w:t>Specific document and language you would like changed:</w:t>
            </w:r>
          </w:p>
          <w:p w14:paraId="558204C6" w14:textId="77777777" w:rsidR="00721A9F" w:rsidRDefault="006B4C74" w:rsidP="003E4C24">
            <w:pPr>
              <w:rPr>
                <w:b/>
                <w:bCs/>
                <w:color w:val="153D63" w:themeColor="text2" w:themeTint="E6"/>
              </w:rPr>
            </w:pPr>
            <w:r w:rsidRPr="006B4C74">
              <w:t>BPM 105, Section 3.4.2.1</w:t>
            </w:r>
            <w:r w:rsidR="006749C9">
              <w:t xml:space="preserve"> </w:t>
            </w:r>
            <w:r w:rsidR="006749C9" w:rsidRPr="006749C9">
              <w:rPr>
                <w:b/>
                <w:bCs/>
                <w:color w:val="153D63" w:themeColor="text2" w:themeTint="E6"/>
              </w:rPr>
              <w:t>Capability Test Requirements for Thermal Resources</w:t>
            </w:r>
          </w:p>
          <w:p w14:paraId="499BECEA" w14:textId="77777777" w:rsidR="00D7760B" w:rsidRDefault="00D7760B" w:rsidP="003E4C24">
            <w:pPr>
              <w:rPr>
                <w:color w:val="153D63" w:themeColor="text2" w:themeTint="E6"/>
              </w:rPr>
            </w:pPr>
            <w:r w:rsidRPr="00D7760B">
              <w:rPr>
                <w:color w:val="153D63" w:themeColor="text2" w:themeTint="E6"/>
              </w:rPr>
              <w:t xml:space="preserve">Capability Tests conducted for Thermal Resources are used as the base accredited value to which Unforced Capacity (UCAP) calculations are applied (see Section 4.2) to determine final QCC values. A Thermal Resource that is not subject to generator testing requirements (i.e., are not subject to NERC MOD-025 requirements) may have its QCC values determined in accordance with Section 4.2, Option 1, in lieu of performing the Capability Test. </w:t>
            </w:r>
          </w:p>
          <w:p w14:paraId="139DD428" w14:textId="77777777" w:rsidR="00D7760B" w:rsidRDefault="00D7760B" w:rsidP="003E4C24">
            <w:pPr>
              <w:rPr>
                <w:color w:val="153D63" w:themeColor="text2" w:themeTint="E6"/>
              </w:rPr>
            </w:pPr>
          </w:p>
          <w:p w14:paraId="4FA1FD2C" w14:textId="77777777" w:rsidR="00D7760B" w:rsidRDefault="00D7760B" w:rsidP="003E4C24">
            <w:pPr>
              <w:rPr>
                <w:color w:val="153D63" w:themeColor="text2" w:themeTint="E6"/>
              </w:rPr>
            </w:pPr>
            <w:r w:rsidRPr="00D7760B">
              <w:rPr>
                <w:color w:val="153D63" w:themeColor="text2" w:themeTint="E6"/>
              </w:rPr>
              <w:t>Capability Tests for Thermal Resources will be performed during the Summer Season and must meet the testing requirements specified in BPM 105. A resource may use its Summer Season Capability Test value for both the Summer Season and the Winter Season. If a unit has a greater Net Generating Capability for the Winter Season than for the Summer Season, a separate Capability Test will need to be performed during the Winter Season to claim the higher Net Generating Capability value.</w:t>
            </w:r>
          </w:p>
          <w:p w14:paraId="389E786C" w14:textId="77777777" w:rsidR="00D7760B" w:rsidRDefault="00D7760B" w:rsidP="003E4C24">
            <w:pPr>
              <w:rPr>
                <w:color w:val="153D63" w:themeColor="text2" w:themeTint="E6"/>
              </w:rPr>
            </w:pPr>
          </w:p>
          <w:p w14:paraId="7C255B5B" w14:textId="77777777" w:rsidR="00662DF0" w:rsidRDefault="00D7760B" w:rsidP="003E4C24">
            <w:pPr>
              <w:rPr>
                <w:color w:val="153D63" w:themeColor="text2" w:themeTint="E6"/>
              </w:rPr>
            </w:pPr>
            <w:r w:rsidRPr="00D7760B">
              <w:rPr>
                <w:color w:val="153D63" w:themeColor="text2" w:themeTint="E6"/>
              </w:rPr>
              <w:t>The following requirements must be met for a Thermal Resource Capability Test, documentation of which will be provided to the Program Operator at the time of the FS Submittal Deadline</w:t>
            </w:r>
            <w:r w:rsidR="00662DF0">
              <w:rPr>
                <w:color w:val="153D63" w:themeColor="text2" w:themeTint="E6"/>
              </w:rPr>
              <w:t>:</w:t>
            </w:r>
          </w:p>
          <w:p w14:paraId="5A48A85C" w14:textId="77777777" w:rsidR="00662DF0" w:rsidRDefault="00662DF0" w:rsidP="003E4C24">
            <w:pPr>
              <w:rPr>
                <w:color w:val="153D63" w:themeColor="text2" w:themeTint="E6"/>
              </w:rPr>
            </w:pPr>
          </w:p>
          <w:p w14:paraId="480F8F3E" w14:textId="77777777" w:rsidR="00662DF0" w:rsidRDefault="00D7760B" w:rsidP="00662DF0">
            <w:pPr>
              <w:ind w:left="720"/>
              <w:rPr>
                <w:color w:val="153D63" w:themeColor="text2" w:themeTint="E6"/>
              </w:rPr>
            </w:pPr>
            <w:r w:rsidRPr="00D7760B">
              <w:rPr>
                <w:color w:val="153D63" w:themeColor="text2" w:themeTint="E6"/>
              </w:rPr>
              <w:t xml:space="preserve">1) Summer Capability Tests are to be conducted during a time when the ambient dry-bulb temperature is no more than 10 degrees Fahrenheit below the station ASHRAE Rated Ambient Temperature. At the time of testing, the most recent version of the ASHRAE Fundamentals Handbook shall be utilized. If the dry-bulb temperature exceeds 10 degrees below the ASHRAE Rated Ambient Temperature, </w:t>
            </w:r>
            <w:r w:rsidRPr="00D7760B">
              <w:rPr>
                <w:color w:val="153D63" w:themeColor="text2" w:themeTint="E6"/>
              </w:rPr>
              <w:lastRenderedPageBreak/>
              <w:t xml:space="preserve">a penalty of 5% plus an additional 0.5% per degree for each additional degree below 10 degrees, up to 20 degrees, will be applied to the Capability Test result. A summer Capability Test shall not be performed </w:t>
            </w:r>
            <w:proofErr w:type="gramStart"/>
            <w:r w:rsidRPr="00D7760B">
              <w:rPr>
                <w:color w:val="153D63" w:themeColor="text2" w:themeTint="E6"/>
              </w:rPr>
              <w:t>in excess of</w:t>
            </w:r>
            <w:proofErr w:type="gramEnd"/>
            <w:r w:rsidRPr="00D7760B">
              <w:rPr>
                <w:color w:val="153D63" w:themeColor="text2" w:themeTint="E6"/>
              </w:rPr>
              <w:t xml:space="preserve"> 20 degrees below the ASHRAE Rated Ambient Temperature. There is no ambient temperature requirement for Winter Capability Tests. </w:t>
            </w:r>
          </w:p>
          <w:p w14:paraId="4673A3FA" w14:textId="77777777" w:rsidR="00662DF0" w:rsidRDefault="00D7760B" w:rsidP="00662DF0">
            <w:pPr>
              <w:ind w:left="720"/>
              <w:rPr>
                <w:color w:val="153D63" w:themeColor="text2" w:themeTint="E6"/>
              </w:rPr>
            </w:pPr>
            <w:r w:rsidRPr="00D7760B">
              <w:rPr>
                <w:color w:val="153D63" w:themeColor="text2" w:themeTint="E6"/>
              </w:rPr>
              <w:t>2) The unit shall be brought to the desired test load and allowed to stabilize. Once the test period has begun, only minor changes in unit controls shall be made as required to maintain the unit in normal, steady-state operation.</w:t>
            </w:r>
          </w:p>
          <w:p w14:paraId="309232B0" w14:textId="77777777" w:rsidR="00662DF0" w:rsidRDefault="00D7760B" w:rsidP="00662DF0">
            <w:pPr>
              <w:ind w:left="720"/>
              <w:rPr>
                <w:color w:val="153D63" w:themeColor="text2" w:themeTint="E6"/>
              </w:rPr>
            </w:pPr>
            <w:r w:rsidRPr="00D7760B">
              <w:rPr>
                <w:color w:val="153D63" w:themeColor="text2" w:themeTint="E6"/>
              </w:rPr>
              <w:t>3) The unit capability shall be determined separately for each generating unit in a power plant where the input to the prime mover of the unit is independent of the others. Units that are aggregated into a single Resource Registration and prefer testing aligned with their registered resource and/or are dependent upon common systems (i.e., fuel, steam supply, auxiliary equipment, transmission, etc.) which restrict total output shall be tested simultaneously. Each unit shall be assigned an individual capability by apportioning the combined capability among the units.</w:t>
            </w:r>
          </w:p>
          <w:p w14:paraId="4ED64BC3" w14:textId="77777777" w:rsidR="00662DF0" w:rsidRDefault="00D7760B" w:rsidP="00662DF0">
            <w:pPr>
              <w:ind w:left="720"/>
              <w:rPr>
                <w:color w:val="153D63" w:themeColor="text2" w:themeTint="E6"/>
              </w:rPr>
            </w:pPr>
            <w:r w:rsidRPr="00D7760B">
              <w:rPr>
                <w:color w:val="153D63" w:themeColor="text2" w:themeTint="E6"/>
              </w:rPr>
              <w:t>4) The fuel used during testing shall be the type expected to be used during peak load conditions.</w:t>
            </w:r>
          </w:p>
          <w:p w14:paraId="35BE73B1" w14:textId="27D91A65" w:rsidR="00D7760B" w:rsidRPr="006749C9" w:rsidRDefault="00D7760B" w:rsidP="00662DF0">
            <w:pPr>
              <w:ind w:left="720"/>
              <w:rPr>
                <w:color w:val="153D63" w:themeColor="text2" w:themeTint="E6"/>
              </w:rPr>
            </w:pPr>
            <w:r w:rsidRPr="00D7760B">
              <w:rPr>
                <w:color w:val="153D63" w:themeColor="text2" w:themeTint="E6"/>
              </w:rPr>
              <w:t>5) The capability of a unit or plant obtained through non-typical operation (i.e., bypassing feedwater heaters, varying steam conditions, alternate control mode, etc.) is acceptable.</w:t>
            </w:r>
          </w:p>
        </w:tc>
      </w:tr>
      <w:tr w:rsidR="00721A9F" w14:paraId="232AEB66" w14:textId="77777777" w:rsidTr="003E4C24">
        <w:tc>
          <w:tcPr>
            <w:tcW w:w="9350" w:type="dxa"/>
            <w:gridSpan w:val="4"/>
          </w:tcPr>
          <w:p w14:paraId="682F82DB" w14:textId="77777777" w:rsidR="00721A9F" w:rsidRDefault="00721A9F" w:rsidP="003E4C24">
            <w:pPr>
              <w:rPr>
                <w:b/>
                <w:bCs/>
              </w:rPr>
            </w:pPr>
            <w:r>
              <w:rPr>
                <w:b/>
                <w:bCs/>
              </w:rPr>
              <w:lastRenderedPageBreak/>
              <w:t xml:space="preserve">Suggestion for how language could be updated to address </w:t>
            </w:r>
            <w:proofErr w:type="gramStart"/>
            <w:r>
              <w:rPr>
                <w:b/>
                <w:bCs/>
              </w:rPr>
              <w:t>issue</w:t>
            </w:r>
            <w:proofErr w:type="gramEnd"/>
            <w:r>
              <w:rPr>
                <w:b/>
                <w:bCs/>
              </w:rPr>
              <w:t>:</w:t>
            </w:r>
          </w:p>
          <w:p w14:paraId="01BBF822" w14:textId="5AF308B4" w:rsidR="00721A9F" w:rsidRPr="004A50B4" w:rsidRDefault="006B4C74" w:rsidP="003E4C24">
            <w:r>
              <w:t>-</w:t>
            </w:r>
          </w:p>
        </w:tc>
      </w:tr>
      <w:tr w:rsidR="00721A9F" w14:paraId="104B6B85" w14:textId="77777777" w:rsidTr="003E4C24">
        <w:tc>
          <w:tcPr>
            <w:tcW w:w="9350" w:type="dxa"/>
            <w:gridSpan w:val="4"/>
          </w:tcPr>
          <w:p w14:paraId="409560A1" w14:textId="77777777" w:rsidR="00721A9F" w:rsidRDefault="00721A9F" w:rsidP="003E4C24">
            <w:r>
              <w:rPr>
                <w:b/>
                <w:bCs/>
              </w:rPr>
              <w:t>Describe the benefits that will be realized from this change:</w:t>
            </w:r>
          </w:p>
          <w:p w14:paraId="3DA8D04A" w14:textId="38A1D634" w:rsidR="00721A9F" w:rsidRPr="00A5483E" w:rsidRDefault="006B4C74" w:rsidP="003E4C24">
            <w:r>
              <w:t>-</w:t>
            </w:r>
          </w:p>
        </w:tc>
      </w:tr>
      <w:tr w:rsidR="00721A9F" w14:paraId="43559DD5" w14:textId="77777777" w:rsidTr="003E4C24">
        <w:tc>
          <w:tcPr>
            <w:tcW w:w="9350" w:type="dxa"/>
            <w:gridSpan w:val="4"/>
          </w:tcPr>
          <w:p w14:paraId="38688F7B" w14:textId="77777777" w:rsidR="00721A9F" w:rsidRDefault="00721A9F" w:rsidP="003E4C24">
            <w:pPr>
              <w:rPr>
                <w:b/>
                <w:bCs/>
              </w:rPr>
            </w:pPr>
            <w:r>
              <w:rPr>
                <w:b/>
                <w:bCs/>
              </w:rPr>
              <w:t>Any data/information that would characterize the importance of the issue:</w:t>
            </w:r>
          </w:p>
          <w:p w14:paraId="1E552413" w14:textId="33A3698D" w:rsidR="00721A9F" w:rsidRPr="00324C95" w:rsidRDefault="006B4C74" w:rsidP="003E4C24">
            <w:r>
              <w:t>-</w:t>
            </w:r>
          </w:p>
        </w:tc>
      </w:tr>
    </w:tbl>
    <w:p w14:paraId="16529A0F" w14:textId="77777777" w:rsidR="008A5CE1" w:rsidRDefault="008A5CE1">
      <w:pPr>
        <w:rPr>
          <w:rFonts w:eastAsiaTheme="majorEastAsia"/>
        </w:rPr>
      </w:pPr>
      <w:r>
        <w:rPr>
          <w:rFonts w:eastAsiaTheme="majorEastAsia"/>
        </w:rPr>
        <w:br w:type="page"/>
      </w:r>
    </w:p>
    <w:tbl>
      <w:tblPr>
        <w:tblStyle w:val="TableGrid"/>
        <w:tblW w:w="0" w:type="auto"/>
        <w:tblLook w:val="04A0" w:firstRow="1" w:lastRow="0" w:firstColumn="1" w:lastColumn="0" w:noHBand="0" w:noVBand="1"/>
      </w:tblPr>
      <w:tblGrid>
        <w:gridCol w:w="3116"/>
        <w:gridCol w:w="1559"/>
        <w:gridCol w:w="1558"/>
        <w:gridCol w:w="3117"/>
      </w:tblGrid>
      <w:tr w:rsidR="008A5CE1" w14:paraId="132AC656" w14:textId="77777777" w:rsidTr="003E4C24">
        <w:tc>
          <w:tcPr>
            <w:tcW w:w="9350" w:type="dxa"/>
            <w:gridSpan w:val="4"/>
          </w:tcPr>
          <w:p w14:paraId="79ECF974" w14:textId="5089B480" w:rsidR="008A5CE1" w:rsidRDefault="008A5CE1" w:rsidP="003E4C24">
            <w:pPr>
              <w:pStyle w:val="Heading1"/>
            </w:pPr>
            <w:bookmarkStart w:id="51" w:name="_Toc189746902"/>
            <w:bookmarkStart w:id="52" w:name="_Toc189840328"/>
            <w:r>
              <w:lastRenderedPageBreak/>
              <w:t>2024-CRF-</w:t>
            </w:r>
            <w:r w:rsidR="00B304EC">
              <w:t>0</w:t>
            </w:r>
            <w:r w:rsidR="006215D6">
              <w:t>14</w:t>
            </w:r>
            <w:r>
              <w:t xml:space="preserve"> / </w:t>
            </w:r>
            <w:r w:rsidR="00042227">
              <w:t>IPC</w:t>
            </w:r>
            <w:r>
              <w:t xml:space="preserve"> / </w:t>
            </w:r>
            <w:r w:rsidR="006215D6">
              <w:t>Joint-Owner Flexibility</w:t>
            </w:r>
            <w:bookmarkEnd w:id="51"/>
            <w:bookmarkEnd w:id="52"/>
          </w:p>
        </w:tc>
      </w:tr>
      <w:tr w:rsidR="008A5CE1" w14:paraId="674638C3" w14:textId="77777777" w:rsidTr="003E4C24">
        <w:tc>
          <w:tcPr>
            <w:tcW w:w="3116" w:type="dxa"/>
          </w:tcPr>
          <w:p w14:paraId="6B0799FF" w14:textId="77777777" w:rsidR="008A5CE1" w:rsidRPr="00FD78B3" w:rsidRDefault="008A5CE1" w:rsidP="003E4C24">
            <w:pPr>
              <w:rPr>
                <w:b/>
                <w:bCs/>
                <w:color w:val="153D63" w:themeColor="text2" w:themeTint="E6"/>
              </w:rPr>
            </w:pPr>
            <w:r w:rsidRPr="00FD78B3">
              <w:rPr>
                <w:b/>
                <w:bCs/>
                <w:color w:val="153D63" w:themeColor="text2" w:themeTint="E6"/>
              </w:rPr>
              <w:t xml:space="preserve">WRAP Area: </w:t>
            </w:r>
          </w:p>
          <w:p w14:paraId="1DABB3CA" w14:textId="388AA46D" w:rsidR="008A5CE1" w:rsidRPr="00FD78B3" w:rsidRDefault="00A77E4C" w:rsidP="003E4C24">
            <w:pPr>
              <w:rPr>
                <w:color w:val="153D63" w:themeColor="text2" w:themeTint="E6"/>
              </w:rPr>
            </w:pPr>
            <w:r>
              <w:rPr>
                <w:color w:val="153D63" w:themeColor="text2" w:themeTint="E6"/>
              </w:rPr>
              <w:t>FS Demonstration</w:t>
            </w:r>
          </w:p>
        </w:tc>
        <w:tc>
          <w:tcPr>
            <w:tcW w:w="3117" w:type="dxa"/>
            <w:gridSpan w:val="2"/>
          </w:tcPr>
          <w:p w14:paraId="5F1D1270" w14:textId="0EA0BF67" w:rsidR="008A5CE1" w:rsidRDefault="00C1275B" w:rsidP="003E4C24">
            <w:pPr>
              <w:rPr>
                <w:color w:val="153D63" w:themeColor="text2" w:themeTint="E6"/>
              </w:rPr>
            </w:pPr>
            <w:r>
              <w:rPr>
                <w:b/>
                <w:bCs/>
                <w:color w:val="153D63" w:themeColor="text2" w:themeTint="E6"/>
              </w:rPr>
              <w:t>Tariff</w:t>
            </w:r>
            <w:r w:rsidR="008A5CE1" w:rsidRPr="004E4785">
              <w:rPr>
                <w:b/>
                <w:bCs/>
                <w:color w:val="153D63" w:themeColor="text2" w:themeTint="E6"/>
              </w:rPr>
              <w:t xml:space="preserve"> Change</w:t>
            </w:r>
            <w:r w:rsidR="008A5CE1" w:rsidRPr="00FD78B3">
              <w:rPr>
                <w:color w:val="153D63" w:themeColor="text2" w:themeTint="E6"/>
              </w:rPr>
              <w:t>:</w:t>
            </w:r>
            <w:r w:rsidR="008A5CE1">
              <w:rPr>
                <w:color w:val="153D63" w:themeColor="text2" w:themeTint="E6"/>
              </w:rPr>
              <w:t xml:space="preserve"> </w:t>
            </w:r>
          </w:p>
          <w:p w14:paraId="79594C85" w14:textId="1C966220" w:rsidR="008A5CE1" w:rsidRPr="00FD78B3" w:rsidRDefault="00C24234" w:rsidP="003E4C24">
            <w:pPr>
              <w:rPr>
                <w:color w:val="153D63" w:themeColor="text2" w:themeTint="E6"/>
              </w:rPr>
            </w:pPr>
            <w:r>
              <w:rPr>
                <w:color w:val="153D63" w:themeColor="text2" w:themeTint="E6"/>
              </w:rPr>
              <w:t>No</w:t>
            </w:r>
          </w:p>
        </w:tc>
        <w:tc>
          <w:tcPr>
            <w:tcW w:w="3117" w:type="dxa"/>
          </w:tcPr>
          <w:p w14:paraId="71D9717D" w14:textId="77777777" w:rsidR="008A5CE1" w:rsidRDefault="008A5CE1" w:rsidP="003E4C24">
            <w:pPr>
              <w:rPr>
                <w:b/>
                <w:bCs/>
                <w:color w:val="153D63" w:themeColor="text2" w:themeTint="E6"/>
              </w:rPr>
            </w:pPr>
            <w:r w:rsidRPr="004E4785">
              <w:rPr>
                <w:b/>
                <w:bCs/>
                <w:color w:val="153D63" w:themeColor="text2" w:themeTint="E6"/>
              </w:rPr>
              <w:t>Time Score:</w:t>
            </w:r>
          </w:p>
          <w:p w14:paraId="3DE3CD42" w14:textId="0BA36D49" w:rsidR="008A5CE1" w:rsidRPr="004E4785" w:rsidRDefault="00C24234" w:rsidP="003E4C24">
            <w:pPr>
              <w:rPr>
                <w:color w:val="153D63" w:themeColor="text2" w:themeTint="E6"/>
              </w:rPr>
            </w:pPr>
            <w:r>
              <w:rPr>
                <w:color w:val="153D63" w:themeColor="text2" w:themeTint="E6"/>
              </w:rPr>
              <w:t>Short</w:t>
            </w:r>
          </w:p>
        </w:tc>
      </w:tr>
      <w:tr w:rsidR="008A5CE1" w14:paraId="37AB0612" w14:textId="77777777" w:rsidTr="003E4C24">
        <w:tc>
          <w:tcPr>
            <w:tcW w:w="4675" w:type="dxa"/>
            <w:gridSpan w:val="2"/>
          </w:tcPr>
          <w:p w14:paraId="0BFC7E3D" w14:textId="69D81BB3" w:rsidR="008A5CE1" w:rsidRDefault="008A5CE1" w:rsidP="003E4C24">
            <w:r w:rsidRPr="00016218">
              <w:rPr>
                <w:b/>
                <w:bCs/>
              </w:rPr>
              <w:t>Lead Sponsor</w:t>
            </w:r>
            <w:r>
              <w:t xml:space="preserve">: </w:t>
            </w:r>
            <w:r w:rsidR="00C24234">
              <w:t>Nicole Blackwell</w:t>
            </w:r>
          </w:p>
          <w:p w14:paraId="7083A520" w14:textId="48DA4102" w:rsidR="008A5CE1" w:rsidRDefault="00C24234" w:rsidP="003E4C24">
            <w:r>
              <w:t>nblackwell@idahopower.com</w:t>
            </w:r>
          </w:p>
        </w:tc>
        <w:tc>
          <w:tcPr>
            <w:tcW w:w="4675" w:type="dxa"/>
            <w:gridSpan w:val="2"/>
          </w:tcPr>
          <w:p w14:paraId="0562BAF5" w14:textId="77777777" w:rsidR="008A5CE1" w:rsidRPr="00651CDC" w:rsidRDefault="008A5CE1" w:rsidP="003E4C24">
            <w:r>
              <w:rPr>
                <w:b/>
                <w:bCs/>
              </w:rPr>
              <w:t xml:space="preserve">Co-Sponsor: </w:t>
            </w:r>
          </w:p>
        </w:tc>
      </w:tr>
      <w:tr w:rsidR="008A5CE1" w14:paraId="31758A74" w14:textId="77777777" w:rsidTr="003E4C24">
        <w:tc>
          <w:tcPr>
            <w:tcW w:w="9350" w:type="dxa"/>
            <w:gridSpan w:val="4"/>
          </w:tcPr>
          <w:p w14:paraId="3714BBCD" w14:textId="7221A306" w:rsidR="008A5CE1" w:rsidRPr="00C329E4" w:rsidRDefault="008A5CE1" w:rsidP="003E4C24">
            <w:r w:rsidRPr="00F64D69">
              <w:rPr>
                <w:b/>
                <w:bCs/>
              </w:rPr>
              <w:t>Summary</w:t>
            </w:r>
            <w:r>
              <w:t xml:space="preserve">: </w:t>
            </w:r>
            <w:r w:rsidR="002D46F9" w:rsidRPr="002D46F9">
              <w:t>Flexibility for Jointly-owned Resources</w:t>
            </w:r>
          </w:p>
        </w:tc>
      </w:tr>
      <w:tr w:rsidR="008A5CE1" w14:paraId="03CD9B5A" w14:textId="77777777" w:rsidTr="003E4C24">
        <w:tc>
          <w:tcPr>
            <w:tcW w:w="9350" w:type="dxa"/>
            <w:gridSpan w:val="4"/>
          </w:tcPr>
          <w:p w14:paraId="493227F0" w14:textId="77777777" w:rsidR="008A5CE1" w:rsidRDefault="008A5CE1" w:rsidP="003E4C24">
            <w:pPr>
              <w:rPr>
                <w:b/>
                <w:bCs/>
              </w:rPr>
            </w:pPr>
            <w:r>
              <w:rPr>
                <w:b/>
                <w:bCs/>
              </w:rPr>
              <w:t xml:space="preserve">Description of the issue: </w:t>
            </w:r>
          </w:p>
          <w:p w14:paraId="054D5BF6" w14:textId="006CF0C1" w:rsidR="002D46F9" w:rsidRPr="006008A2" w:rsidRDefault="002D46F9" w:rsidP="003E4C24">
            <w:r w:rsidRPr="002D46F9">
              <w:t>For jointly-owned resources, if the majority owner/operator does not submit required data on behalf of the resource, there should be an alternative path (documented) for the other owner(s) to receive credit for their share of the resource. </w:t>
            </w:r>
          </w:p>
        </w:tc>
      </w:tr>
      <w:tr w:rsidR="008A5CE1" w14:paraId="27374EA8" w14:textId="77777777" w:rsidTr="003E4C24">
        <w:tc>
          <w:tcPr>
            <w:tcW w:w="9350" w:type="dxa"/>
            <w:gridSpan w:val="4"/>
          </w:tcPr>
          <w:p w14:paraId="01CD7AE7" w14:textId="77777777" w:rsidR="008A5CE1" w:rsidRPr="006008A2" w:rsidRDefault="008A5CE1" w:rsidP="003E4C24">
            <w:r>
              <w:rPr>
                <w:b/>
                <w:bCs/>
              </w:rPr>
              <w:t xml:space="preserve">Proposed solution to the issue described: </w:t>
            </w:r>
          </w:p>
          <w:p w14:paraId="42F0B407" w14:textId="0F6810A4" w:rsidR="008A5CE1" w:rsidRPr="00AB7637" w:rsidRDefault="002D46F9" w:rsidP="003E4C24">
            <w:r>
              <w:t>-</w:t>
            </w:r>
          </w:p>
        </w:tc>
      </w:tr>
      <w:tr w:rsidR="008A5CE1" w14:paraId="2D931782" w14:textId="77777777" w:rsidTr="003E4C24">
        <w:tc>
          <w:tcPr>
            <w:tcW w:w="9350" w:type="dxa"/>
            <w:gridSpan w:val="4"/>
          </w:tcPr>
          <w:p w14:paraId="0FD152E8" w14:textId="77777777" w:rsidR="008A5CE1" w:rsidRDefault="008A5CE1" w:rsidP="003E4C24">
            <w:pPr>
              <w:rPr>
                <w:b/>
                <w:bCs/>
              </w:rPr>
            </w:pPr>
            <w:r>
              <w:rPr>
                <w:b/>
                <w:bCs/>
              </w:rPr>
              <w:t>Specific document and language you would like changed:</w:t>
            </w:r>
          </w:p>
          <w:p w14:paraId="6C6659E2" w14:textId="26531BB4" w:rsidR="008A5CE1" w:rsidRPr="003E595A" w:rsidRDefault="002D46F9" w:rsidP="003E4C24">
            <w:r>
              <w:t>-</w:t>
            </w:r>
          </w:p>
        </w:tc>
      </w:tr>
      <w:tr w:rsidR="008A5CE1" w14:paraId="63D3F10C" w14:textId="77777777" w:rsidTr="003E4C24">
        <w:tc>
          <w:tcPr>
            <w:tcW w:w="9350" w:type="dxa"/>
            <w:gridSpan w:val="4"/>
          </w:tcPr>
          <w:p w14:paraId="7EF998FC" w14:textId="77777777" w:rsidR="008A5CE1" w:rsidRDefault="008A5CE1" w:rsidP="003E4C24">
            <w:pPr>
              <w:rPr>
                <w:b/>
                <w:bCs/>
              </w:rPr>
            </w:pPr>
            <w:r>
              <w:rPr>
                <w:b/>
                <w:bCs/>
              </w:rPr>
              <w:t xml:space="preserve">Suggestion for how language could be updated to address </w:t>
            </w:r>
            <w:proofErr w:type="gramStart"/>
            <w:r>
              <w:rPr>
                <w:b/>
                <w:bCs/>
              </w:rPr>
              <w:t>issue</w:t>
            </w:r>
            <w:proofErr w:type="gramEnd"/>
            <w:r>
              <w:rPr>
                <w:b/>
                <w:bCs/>
              </w:rPr>
              <w:t>:</w:t>
            </w:r>
          </w:p>
          <w:p w14:paraId="68AE6A6C" w14:textId="77777777" w:rsidR="002D46F9" w:rsidRPr="002D46F9" w:rsidRDefault="009E646F" w:rsidP="002D46F9">
            <w:r>
              <w:pict w14:anchorId="26C1823F">
                <v:rect id="_x0000_i1026" style="width:0;height:0" o:hrstd="t" o:hrnoshade="t" o:hr="t" fillcolor="#212529" stroked="f"/>
              </w:pict>
            </w:r>
          </w:p>
          <w:p w14:paraId="0635B2A4" w14:textId="77777777" w:rsidR="002D46F9" w:rsidRPr="002D46F9" w:rsidRDefault="002D46F9" w:rsidP="002D46F9">
            <w:r w:rsidRPr="002D46F9">
              <w:t xml:space="preserve">Do not have specific solutions, but it seems that if a participant owner can provide all the same data for their share of the resource as a majority owner/operator can provide for the entire resource, that an exception process or alternative options should be made available </w:t>
            </w:r>
            <w:proofErr w:type="gramStart"/>
            <w:r w:rsidRPr="002D46F9">
              <w:t>in order for</w:t>
            </w:r>
            <w:proofErr w:type="gramEnd"/>
            <w:r w:rsidRPr="002D46F9">
              <w:t xml:space="preserve"> minority owners to receive adequate capacity credit. Minority owners should not be beholden to majority owners for compliance. </w:t>
            </w:r>
          </w:p>
          <w:p w14:paraId="486EF5AE" w14:textId="77777777" w:rsidR="008A5CE1" w:rsidRPr="004A50B4" w:rsidRDefault="008A5CE1" w:rsidP="003E4C24"/>
        </w:tc>
      </w:tr>
      <w:tr w:rsidR="008A5CE1" w14:paraId="2FEE91F7" w14:textId="77777777" w:rsidTr="003E4C24">
        <w:tc>
          <w:tcPr>
            <w:tcW w:w="9350" w:type="dxa"/>
            <w:gridSpan w:val="4"/>
          </w:tcPr>
          <w:p w14:paraId="54D33538" w14:textId="77777777" w:rsidR="008A5CE1" w:rsidRDefault="008A5CE1" w:rsidP="003E4C24">
            <w:r>
              <w:rPr>
                <w:b/>
                <w:bCs/>
              </w:rPr>
              <w:t>Describe the benefits that will be realized from this change:</w:t>
            </w:r>
          </w:p>
          <w:p w14:paraId="45AD99B5" w14:textId="680F7ECC" w:rsidR="008A5CE1" w:rsidRPr="00A5483E" w:rsidRDefault="002D46F9" w:rsidP="003E4C24">
            <w:r>
              <w:t>-</w:t>
            </w:r>
          </w:p>
        </w:tc>
      </w:tr>
      <w:tr w:rsidR="008A5CE1" w14:paraId="60EEDDD7" w14:textId="77777777" w:rsidTr="003E4C24">
        <w:tc>
          <w:tcPr>
            <w:tcW w:w="9350" w:type="dxa"/>
            <w:gridSpan w:val="4"/>
          </w:tcPr>
          <w:p w14:paraId="6E628912" w14:textId="77777777" w:rsidR="008A5CE1" w:rsidRDefault="008A5CE1" w:rsidP="003E4C24">
            <w:pPr>
              <w:rPr>
                <w:b/>
                <w:bCs/>
              </w:rPr>
            </w:pPr>
            <w:r>
              <w:rPr>
                <w:b/>
                <w:bCs/>
              </w:rPr>
              <w:t>Any data/information that would characterize the importance of the issue:</w:t>
            </w:r>
          </w:p>
          <w:p w14:paraId="5531574C" w14:textId="35805444" w:rsidR="008A5CE1" w:rsidRPr="00324C95" w:rsidRDefault="002D46F9" w:rsidP="003E4C24">
            <w:r>
              <w:t>-</w:t>
            </w:r>
          </w:p>
        </w:tc>
      </w:tr>
    </w:tbl>
    <w:p w14:paraId="1EE76AF7" w14:textId="77777777" w:rsidR="00662DF0" w:rsidRDefault="00662DF0">
      <w:pPr>
        <w:rPr>
          <w:rFonts w:eastAsiaTheme="majorEastAsia"/>
        </w:rPr>
      </w:pPr>
      <w:r>
        <w:rPr>
          <w:rFonts w:eastAsiaTheme="majorEastAsia"/>
        </w:rPr>
        <w:br w:type="page"/>
      </w:r>
    </w:p>
    <w:tbl>
      <w:tblPr>
        <w:tblStyle w:val="TableGrid"/>
        <w:tblW w:w="0" w:type="auto"/>
        <w:tblLook w:val="04A0" w:firstRow="1" w:lastRow="0" w:firstColumn="1" w:lastColumn="0" w:noHBand="0" w:noVBand="1"/>
      </w:tblPr>
      <w:tblGrid>
        <w:gridCol w:w="3116"/>
        <w:gridCol w:w="1559"/>
        <w:gridCol w:w="1558"/>
        <w:gridCol w:w="3117"/>
      </w:tblGrid>
      <w:tr w:rsidR="00662DF0" w14:paraId="0FC11DC0" w14:textId="77777777" w:rsidTr="003E4C24">
        <w:tc>
          <w:tcPr>
            <w:tcW w:w="9350" w:type="dxa"/>
            <w:gridSpan w:val="4"/>
          </w:tcPr>
          <w:p w14:paraId="2EFF35D6" w14:textId="6171BAA7" w:rsidR="00662DF0" w:rsidRDefault="00662DF0" w:rsidP="003E4C24">
            <w:pPr>
              <w:pStyle w:val="Heading1"/>
            </w:pPr>
            <w:bookmarkStart w:id="53" w:name="_Toc189746903"/>
            <w:bookmarkStart w:id="54" w:name="_Toc189840329"/>
            <w:r>
              <w:lastRenderedPageBreak/>
              <w:t>2024-CRF-0</w:t>
            </w:r>
            <w:r w:rsidR="00B178BC">
              <w:t>15</w:t>
            </w:r>
            <w:r>
              <w:t xml:space="preserve"> / </w:t>
            </w:r>
            <w:r w:rsidR="00B178BC">
              <w:t>PNM</w:t>
            </w:r>
            <w:r>
              <w:t xml:space="preserve"> / </w:t>
            </w:r>
            <w:r w:rsidR="008A6158">
              <w:t>Planned Outage Clarification</w:t>
            </w:r>
            <w:bookmarkEnd w:id="53"/>
            <w:bookmarkEnd w:id="54"/>
          </w:p>
        </w:tc>
      </w:tr>
      <w:tr w:rsidR="00662DF0" w14:paraId="618BE939" w14:textId="77777777" w:rsidTr="003E4C24">
        <w:tc>
          <w:tcPr>
            <w:tcW w:w="3116" w:type="dxa"/>
          </w:tcPr>
          <w:p w14:paraId="7E9EFB67" w14:textId="77777777" w:rsidR="00662DF0" w:rsidRPr="00FD78B3" w:rsidRDefault="00662DF0" w:rsidP="003E4C24">
            <w:pPr>
              <w:rPr>
                <w:b/>
                <w:bCs/>
                <w:color w:val="153D63" w:themeColor="text2" w:themeTint="E6"/>
              </w:rPr>
            </w:pPr>
            <w:r w:rsidRPr="00FD78B3">
              <w:rPr>
                <w:b/>
                <w:bCs/>
                <w:color w:val="153D63" w:themeColor="text2" w:themeTint="E6"/>
              </w:rPr>
              <w:t xml:space="preserve">WRAP Area: </w:t>
            </w:r>
          </w:p>
          <w:p w14:paraId="341FA883" w14:textId="6AA1AF3A" w:rsidR="00662DF0" w:rsidRPr="00FD78B3" w:rsidRDefault="00BE638C" w:rsidP="003E4C24">
            <w:pPr>
              <w:rPr>
                <w:color w:val="153D63" w:themeColor="text2" w:themeTint="E6"/>
              </w:rPr>
            </w:pPr>
            <w:r>
              <w:rPr>
                <w:color w:val="153D63" w:themeColor="text2" w:themeTint="E6"/>
              </w:rPr>
              <w:t>FS Demonstration</w:t>
            </w:r>
          </w:p>
        </w:tc>
        <w:tc>
          <w:tcPr>
            <w:tcW w:w="3117" w:type="dxa"/>
            <w:gridSpan w:val="2"/>
          </w:tcPr>
          <w:p w14:paraId="3D907A70" w14:textId="49FD4743" w:rsidR="00662DF0" w:rsidRDefault="00C1275B" w:rsidP="003E4C24">
            <w:pPr>
              <w:rPr>
                <w:color w:val="153D63" w:themeColor="text2" w:themeTint="E6"/>
              </w:rPr>
            </w:pPr>
            <w:r>
              <w:rPr>
                <w:b/>
                <w:bCs/>
                <w:color w:val="153D63" w:themeColor="text2" w:themeTint="E6"/>
              </w:rPr>
              <w:t>Tariff</w:t>
            </w:r>
            <w:r w:rsidR="00662DF0" w:rsidRPr="004E4785">
              <w:rPr>
                <w:b/>
                <w:bCs/>
                <w:color w:val="153D63" w:themeColor="text2" w:themeTint="E6"/>
              </w:rPr>
              <w:t xml:space="preserve"> Change</w:t>
            </w:r>
            <w:r w:rsidR="00662DF0" w:rsidRPr="00FD78B3">
              <w:rPr>
                <w:color w:val="153D63" w:themeColor="text2" w:themeTint="E6"/>
              </w:rPr>
              <w:t>:</w:t>
            </w:r>
            <w:r w:rsidR="00662DF0">
              <w:rPr>
                <w:color w:val="153D63" w:themeColor="text2" w:themeTint="E6"/>
              </w:rPr>
              <w:t xml:space="preserve"> </w:t>
            </w:r>
          </w:p>
          <w:p w14:paraId="6AB5F426" w14:textId="55AF90AE" w:rsidR="00662DF0" w:rsidRPr="00FD78B3" w:rsidRDefault="009E0903" w:rsidP="003E4C24">
            <w:pPr>
              <w:rPr>
                <w:color w:val="153D63" w:themeColor="text2" w:themeTint="E6"/>
              </w:rPr>
            </w:pPr>
            <w:r>
              <w:rPr>
                <w:color w:val="153D63" w:themeColor="text2" w:themeTint="E6"/>
              </w:rPr>
              <w:t>Yes</w:t>
            </w:r>
          </w:p>
        </w:tc>
        <w:tc>
          <w:tcPr>
            <w:tcW w:w="3117" w:type="dxa"/>
          </w:tcPr>
          <w:p w14:paraId="6164515C" w14:textId="77777777" w:rsidR="00662DF0" w:rsidRDefault="00662DF0" w:rsidP="003E4C24">
            <w:pPr>
              <w:rPr>
                <w:b/>
                <w:bCs/>
                <w:color w:val="153D63" w:themeColor="text2" w:themeTint="E6"/>
              </w:rPr>
            </w:pPr>
            <w:r w:rsidRPr="004E4785">
              <w:rPr>
                <w:b/>
                <w:bCs/>
                <w:color w:val="153D63" w:themeColor="text2" w:themeTint="E6"/>
              </w:rPr>
              <w:t>Time Score:</w:t>
            </w:r>
          </w:p>
          <w:p w14:paraId="6092246A" w14:textId="7AE92BF0" w:rsidR="00662DF0" w:rsidRPr="004E4785" w:rsidRDefault="00132772" w:rsidP="003E4C24">
            <w:pPr>
              <w:rPr>
                <w:color w:val="153D63" w:themeColor="text2" w:themeTint="E6"/>
              </w:rPr>
            </w:pPr>
            <w:r>
              <w:rPr>
                <w:color w:val="153D63" w:themeColor="text2" w:themeTint="E6"/>
              </w:rPr>
              <w:t>Short</w:t>
            </w:r>
          </w:p>
        </w:tc>
      </w:tr>
      <w:tr w:rsidR="00662DF0" w14:paraId="2C8484DE" w14:textId="77777777" w:rsidTr="003E4C24">
        <w:tc>
          <w:tcPr>
            <w:tcW w:w="4675" w:type="dxa"/>
            <w:gridSpan w:val="2"/>
          </w:tcPr>
          <w:p w14:paraId="4F7F0D11" w14:textId="50810EE0" w:rsidR="00662DF0" w:rsidRDefault="00662DF0" w:rsidP="003E4C24">
            <w:r w:rsidRPr="00016218">
              <w:rPr>
                <w:b/>
                <w:bCs/>
              </w:rPr>
              <w:t>Lead Sponsor</w:t>
            </w:r>
            <w:r>
              <w:t xml:space="preserve">: </w:t>
            </w:r>
            <w:r w:rsidR="00132772">
              <w:t>John Mayhew</w:t>
            </w:r>
          </w:p>
          <w:p w14:paraId="58252B74" w14:textId="44C78AD1" w:rsidR="00662DF0" w:rsidRDefault="001E7DFC" w:rsidP="003E4C24">
            <w:r>
              <w:t>john.mayhew@pnm.com</w:t>
            </w:r>
          </w:p>
        </w:tc>
        <w:tc>
          <w:tcPr>
            <w:tcW w:w="4675" w:type="dxa"/>
            <w:gridSpan w:val="2"/>
          </w:tcPr>
          <w:p w14:paraId="7D471624" w14:textId="77777777" w:rsidR="00662DF0" w:rsidRDefault="00662DF0" w:rsidP="003E4C24">
            <w:pPr>
              <w:rPr>
                <w:b/>
                <w:bCs/>
              </w:rPr>
            </w:pPr>
            <w:r>
              <w:rPr>
                <w:b/>
                <w:bCs/>
              </w:rPr>
              <w:t xml:space="preserve">Co-Sponsor: </w:t>
            </w:r>
          </w:p>
          <w:p w14:paraId="2500D8A9" w14:textId="4EF2C1B7" w:rsidR="00132772" w:rsidRPr="00132772" w:rsidRDefault="00132772" w:rsidP="003E4C24">
            <w:r>
              <w:t>Arizona Public Service</w:t>
            </w:r>
          </w:p>
        </w:tc>
      </w:tr>
      <w:tr w:rsidR="00662DF0" w14:paraId="14E8E438" w14:textId="77777777" w:rsidTr="003E4C24">
        <w:tc>
          <w:tcPr>
            <w:tcW w:w="9350" w:type="dxa"/>
            <w:gridSpan w:val="4"/>
          </w:tcPr>
          <w:p w14:paraId="72E9F856" w14:textId="10554880" w:rsidR="00662DF0" w:rsidRPr="00C329E4" w:rsidRDefault="00662DF0" w:rsidP="003E4C24">
            <w:r w:rsidRPr="00F64D69">
              <w:rPr>
                <w:b/>
                <w:bCs/>
              </w:rPr>
              <w:t>Summary</w:t>
            </w:r>
            <w:r>
              <w:t xml:space="preserve">: </w:t>
            </w:r>
            <w:r w:rsidR="001E7DFC" w:rsidRPr="001E7DFC">
              <w:t>Clarification Planned Outages Tariff Language/BPM 108</w:t>
            </w:r>
          </w:p>
        </w:tc>
      </w:tr>
      <w:tr w:rsidR="00662DF0" w14:paraId="0D31C926" w14:textId="77777777" w:rsidTr="003E4C24">
        <w:tc>
          <w:tcPr>
            <w:tcW w:w="9350" w:type="dxa"/>
            <w:gridSpan w:val="4"/>
          </w:tcPr>
          <w:p w14:paraId="0F0434E2" w14:textId="77777777" w:rsidR="00662DF0" w:rsidRPr="00AC47E4" w:rsidRDefault="00662DF0" w:rsidP="003E4C24">
            <w:pPr>
              <w:rPr>
                <w:b/>
                <w:bCs/>
              </w:rPr>
            </w:pPr>
            <w:r w:rsidRPr="00AC47E4">
              <w:rPr>
                <w:b/>
                <w:bCs/>
              </w:rPr>
              <w:t xml:space="preserve">Description of the issue: </w:t>
            </w:r>
          </w:p>
          <w:p w14:paraId="1CA4EC95" w14:textId="002E057B" w:rsidR="00A96863" w:rsidRPr="00AC47E4" w:rsidRDefault="00A96863" w:rsidP="00A96863">
            <w:pPr>
              <w:pStyle w:val="NormalWeb"/>
              <w:jc w:val="left"/>
              <w:rPr>
                <w:rFonts w:asciiTheme="minorHAnsi" w:hAnsiTheme="minorHAnsi"/>
                <w:color w:val="212529"/>
              </w:rPr>
            </w:pPr>
            <w:r w:rsidRPr="00AC47E4">
              <w:rPr>
                <w:rFonts w:asciiTheme="minorHAnsi" w:hAnsiTheme="minorHAnsi"/>
                <w:color w:val="212529"/>
              </w:rPr>
              <w:t xml:space="preserve">Fundamentally, we feel there are issues with the tariff language on Planned Outages.  The tariff has a very </w:t>
            </w:r>
            <w:proofErr w:type="gramStart"/>
            <w:r w:rsidRPr="00AC47E4">
              <w:rPr>
                <w:rFonts w:asciiTheme="minorHAnsi" w:hAnsiTheme="minorHAnsi"/>
                <w:color w:val="212529"/>
              </w:rPr>
              <w:t>narrowed</w:t>
            </w:r>
            <w:proofErr w:type="gramEnd"/>
            <w:r w:rsidRPr="00AC47E4">
              <w:rPr>
                <w:rFonts w:asciiTheme="minorHAnsi" w:hAnsiTheme="minorHAnsi"/>
                <w:color w:val="212529"/>
              </w:rPr>
              <w:t xml:space="preserve"> scope defining specific Planned Outages, and what may qualify for an exemption.  Exemptions appear defined as</w:t>
            </w:r>
            <w:proofErr w:type="gramStart"/>
            <w:r w:rsidRPr="00AC47E4">
              <w:rPr>
                <w:rFonts w:asciiTheme="minorHAnsi" w:hAnsiTheme="minorHAnsi"/>
                <w:color w:val="212529"/>
              </w:rPr>
              <w:t>:  out</w:t>
            </w:r>
            <w:proofErr w:type="gramEnd"/>
            <w:r w:rsidRPr="00AC47E4">
              <w:rPr>
                <w:rFonts w:asciiTheme="minorHAnsi" w:hAnsiTheme="minorHAnsi"/>
                <w:color w:val="212529"/>
              </w:rPr>
              <w:t xml:space="preserve"> from FS to Binding Season, less than a static value of 500MW per participant, and limited to a single resource(s).  Second, there appears to be contradictory, or at minimum, confusing language between the Tariff and the BPM defining Planned Outages in the Forward Showing concerning outage exemptions.  Lastly, we have concerns around the compressed time frames, in between non-Binding Seasons, in which Participants could inadvertently create resource adequacy issues planning all regular maintenance outages.</w:t>
            </w:r>
          </w:p>
          <w:p w14:paraId="7E14C147" w14:textId="77777777" w:rsidR="00A96863" w:rsidRPr="00AC47E4" w:rsidRDefault="00A96863" w:rsidP="00A96863">
            <w:pPr>
              <w:pStyle w:val="NormalWeb"/>
              <w:jc w:val="left"/>
              <w:rPr>
                <w:rFonts w:asciiTheme="minorHAnsi" w:hAnsiTheme="minorHAnsi"/>
                <w:color w:val="212529"/>
              </w:rPr>
            </w:pPr>
            <w:r w:rsidRPr="00AC47E4">
              <w:rPr>
                <w:rStyle w:val="Strong"/>
                <w:rFonts w:asciiTheme="minorHAnsi" w:eastAsiaTheme="majorEastAsia" w:hAnsiTheme="minorHAnsi"/>
                <w:color w:val="212529"/>
                <w:u w:val="single"/>
              </w:rPr>
              <w:t>Understanding the Focus of the Tariff:</w:t>
            </w:r>
          </w:p>
          <w:p w14:paraId="7D47C6FC" w14:textId="1CCD6AEB" w:rsidR="00A96863" w:rsidRPr="00AC47E4" w:rsidRDefault="00A96863" w:rsidP="00A96863">
            <w:pPr>
              <w:pStyle w:val="NormalWeb"/>
              <w:jc w:val="left"/>
              <w:rPr>
                <w:rFonts w:asciiTheme="minorHAnsi" w:hAnsiTheme="minorHAnsi"/>
                <w:color w:val="212529"/>
              </w:rPr>
            </w:pPr>
            <w:r w:rsidRPr="00AC47E4">
              <w:rPr>
                <w:rFonts w:asciiTheme="minorHAnsi" w:hAnsiTheme="minorHAnsi"/>
                <w:color w:val="212529"/>
              </w:rPr>
              <w:t>16.2.8</w:t>
            </w:r>
            <w:r w:rsidRPr="00AC47E4">
              <w:rPr>
                <w:rFonts w:asciiTheme="minorHAnsi" w:hAnsiTheme="minorHAnsi"/>
                <w:i/>
                <w:iCs/>
                <w:color w:val="212529"/>
              </w:rPr>
              <w:t xml:space="preserve"> “</w:t>
            </w:r>
            <w:r w:rsidRPr="00AC47E4">
              <w:rPr>
                <w:rFonts w:asciiTheme="minorHAnsi" w:hAnsiTheme="minorHAnsi"/>
                <w:i/>
                <w:iCs/>
                <w:color w:val="212529"/>
                <w:shd w:val="clear" w:color="auto" w:fill="FFFF00"/>
              </w:rPr>
              <w:t>Participants shall include in their Forward Showing Submittal for a Binding Season information on all Qualifying Resources that are currently out of service with a scheduled return date that falls during the Binding Season.</w:t>
            </w:r>
            <w:r w:rsidRPr="00AC47E4">
              <w:rPr>
                <w:rFonts w:asciiTheme="minorHAnsi" w:hAnsiTheme="minorHAnsi"/>
                <w:i/>
                <w:iCs/>
                <w:color w:val="212529"/>
              </w:rPr>
              <w:t>  Capacity associated with such resources must be deducted from Participants’ Portfolio QCC as specified in the Business Practice Manuals to ensure no credit is granted for such resources during the planned outage.  </w:t>
            </w:r>
            <w:r w:rsidRPr="00AC47E4">
              <w:rPr>
                <w:rFonts w:asciiTheme="minorHAnsi" w:hAnsiTheme="minorHAnsi"/>
                <w:i/>
                <w:iCs/>
                <w:color w:val="212529"/>
                <w:shd w:val="clear" w:color="auto" w:fill="FFFF00"/>
              </w:rPr>
              <w:t>The aggregate of any additional outages that are planned to occur during the Binding Season but have not yet begun at the time of submission must be within the Participant’s remaining surplus (or replaced with other supply).</w:t>
            </w:r>
            <w:r w:rsidRPr="00AC47E4">
              <w:rPr>
                <w:rFonts w:asciiTheme="minorHAnsi" w:hAnsiTheme="minorHAnsi"/>
                <w:i/>
                <w:iCs/>
                <w:color w:val="212529"/>
              </w:rPr>
              <w:t>  Participants may provide information on all Qualifying Resources that are planned to be out of service but if such data cannot be supplied with reasonable specificity, a Participant may provide Senior Official Attestation at the time of the submission of its FS Submittal this is expects the sum of planned outages to be equal to or less than the surplus stated in its FS Submittal throughout the Binding Season.”</w:t>
            </w:r>
          </w:p>
          <w:p w14:paraId="45A9BE0A" w14:textId="0F8B6CDA" w:rsidR="00A96863" w:rsidRPr="00AC47E4" w:rsidRDefault="00A96863" w:rsidP="00A96863">
            <w:pPr>
              <w:pStyle w:val="NormalWeb"/>
              <w:jc w:val="left"/>
              <w:rPr>
                <w:rFonts w:asciiTheme="minorHAnsi" w:hAnsiTheme="minorHAnsi"/>
                <w:color w:val="212529"/>
              </w:rPr>
            </w:pPr>
            <w:r w:rsidRPr="00AC47E4">
              <w:rPr>
                <w:rFonts w:asciiTheme="minorHAnsi" w:hAnsiTheme="minorHAnsi"/>
                <w:i/>
                <w:iCs/>
                <w:color w:val="212529"/>
              </w:rPr>
              <w:t>16.2.8.1 “</w:t>
            </w:r>
            <w:r w:rsidRPr="00AC47E4">
              <w:rPr>
                <w:rFonts w:asciiTheme="minorHAnsi" w:hAnsiTheme="minorHAnsi"/>
                <w:i/>
                <w:iCs/>
                <w:color w:val="212529"/>
                <w:shd w:val="clear" w:color="auto" w:fill="FFFF00"/>
              </w:rPr>
              <w:t>If a Qualifying Resource is planned to return to service within the first five days of a Binding Season, WPP may approve a qualified acceptance of the FS Submittal, provided the deficiency is less than 500 MW.”</w:t>
            </w:r>
          </w:p>
          <w:p w14:paraId="1BEC4F4A" w14:textId="49965ACE" w:rsidR="00A96863" w:rsidRPr="00AC47E4" w:rsidRDefault="00A96863" w:rsidP="00A96863">
            <w:pPr>
              <w:pStyle w:val="NormalWeb"/>
              <w:jc w:val="left"/>
              <w:rPr>
                <w:rFonts w:asciiTheme="minorHAnsi" w:hAnsiTheme="minorHAnsi"/>
                <w:color w:val="212529"/>
              </w:rPr>
            </w:pPr>
            <w:proofErr w:type="gramStart"/>
            <w:r w:rsidRPr="00AC47E4">
              <w:rPr>
                <w:rFonts w:asciiTheme="minorHAnsi" w:hAnsiTheme="minorHAnsi"/>
                <w:i/>
                <w:iCs/>
                <w:color w:val="212529"/>
              </w:rPr>
              <w:t>16.2.8.2  “</w:t>
            </w:r>
            <w:proofErr w:type="gramEnd"/>
            <w:r w:rsidRPr="00AC47E4">
              <w:rPr>
                <w:rFonts w:asciiTheme="minorHAnsi" w:hAnsiTheme="minorHAnsi"/>
                <w:i/>
                <w:iCs/>
                <w:color w:val="212529"/>
              </w:rPr>
              <w:t>A planned outage shall not justify a waiver of or exception to a Participant’s holdback or energy delivery obligations under Part III or this Tariff.  Participants will be expected to procure the necessary capacity or energy to meet the Operations Program requirements, regardless of planned outage schedules or FS Submittal acceptance.”</w:t>
            </w:r>
          </w:p>
          <w:p w14:paraId="53AA9290" w14:textId="77777777" w:rsidR="00A96863" w:rsidRPr="00AC47E4" w:rsidRDefault="00A96863" w:rsidP="00A96863">
            <w:pPr>
              <w:pStyle w:val="NormalWeb"/>
              <w:jc w:val="left"/>
              <w:rPr>
                <w:rFonts w:asciiTheme="minorHAnsi" w:hAnsiTheme="minorHAnsi"/>
                <w:color w:val="212529"/>
              </w:rPr>
            </w:pPr>
            <w:r w:rsidRPr="00AC47E4">
              <w:rPr>
                <w:rFonts w:asciiTheme="minorHAnsi" w:hAnsiTheme="minorHAnsi"/>
                <w:color w:val="212529"/>
              </w:rPr>
              <w:t> </w:t>
            </w:r>
          </w:p>
          <w:p w14:paraId="51C57F7E" w14:textId="77777777" w:rsidR="00A96863" w:rsidRPr="00AC47E4" w:rsidRDefault="00A96863" w:rsidP="00A96863">
            <w:pPr>
              <w:pStyle w:val="NormalWeb"/>
              <w:jc w:val="left"/>
              <w:rPr>
                <w:rFonts w:asciiTheme="minorHAnsi" w:hAnsiTheme="minorHAnsi"/>
                <w:color w:val="212529"/>
              </w:rPr>
            </w:pPr>
            <w:r w:rsidRPr="00AC47E4">
              <w:rPr>
                <w:rFonts w:asciiTheme="minorHAnsi" w:hAnsiTheme="minorHAnsi"/>
                <w:color w:val="212529"/>
              </w:rPr>
              <w:lastRenderedPageBreak/>
              <w:t>The Tariff is very specific, and it appears the main concern is Planned Outages out at the time of FS Submittal which will remain out once Binding Season begins.  Why is the tariff so narrowly focused?</w:t>
            </w:r>
          </w:p>
          <w:p w14:paraId="20B8F52B" w14:textId="77777777" w:rsidR="00A96863" w:rsidRPr="00AC47E4" w:rsidRDefault="00A96863" w:rsidP="006247A6">
            <w:pPr>
              <w:numPr>
                <w:ilvl w:val="0"/>
                <w:numId w:val="14"/>
              </w:numPr>
              <w:spacing w:before="100" w:beforeAutospacing="1" w:after="100" w:afterAutospacing="1"/>
              <w:rPr>
                <w:color w:val="212529"/>
              </w:rPr>
            </w:pPr>
            <w:r w:rsidRPr="00AC47E4">
              <w:rPr>
                <w:color w:val="212529"/>
              </w:rPr>
              <w:t>There is no mention of a planned outage beginning:</w:t>
            </w:r>
          </w:p>
          <w:p w14:paraId="72A237C7" w14:textId="77777777" w:rsidR="00A96863" w:rsidRPr="00AC47E4" w:rsidRDefault="00A96863" w:rsidP="006247A6">
            <w:pPr>
              <w:numPr>
                <w:ilvl w:val="1"/>
                <w:numId w:val="14"/>
              </w:numPr>
              <w:spacing w:before="100" w:beforeAutospacing="1" w:after="100" w:afterAutospacing="1"/>
              <w:rPr>
                <w:color w:val="212529"/>
              </w:rPr>
            </w:pPr>
            <w:r w:rsidRPr="00AC47E4">
              <w:rPr>
                <w:color w:val="212529"/>
              </w:rPr>
              <w:t>After the close of the FS Submittal period</w:t>
            </w:r>
          </w:p>
          <w:p w14:paraId="5442C03B" w14:textId="77777777" w:rsidR="00A96863" w:rsidRPr="00AC47E4" w:rsidRDefault="00A96863" w:rsidP="006247A6">
            <w:pPr>
              <w:numPr>
                <w:ilvl w:val="1"/>
                <w:numId w:val="14"/>
              </w:numPr>
              <w:spacing w:before="100" w:beforeAutospacing="1" w:after="100" w:afterAutospacing="1"/>
              <w:rPr>
                <w:color w:val="212529"/>
              </w:rPr>
            </w:pPr>
            <w:r w:rsidRPr="00AC47E4">
              <w:rPr>
                <w:color w:val="212529"/>
              </w:rPr>
              <w:t>During the FS Cure period</w:t>
            </w:r>
          </w:p>
          <w:p w14:paraId="1FD589DA" w14:textId="77777777" w:rsidR="00A96863" w:rsidRPr="00AC47E4" w:rsidRDefault="00A96863" w:rsidP="006247A6">
            <w:pPr>
              <w:numPr>
                <w:ilvl w:val="1"/>
                <w:numId w:val="14"/>
              </w:numPr>
              <w:spacing w:before="100" w:beforeAutospacing="1" w:after="100" w:afterAutospacing="1"/>
              <w:rPr>
                <w:color w:val="212529"/>
              </w:rPr>
            </w:pPr>
            <w:r w:rsidRPr="00AC47E4">
              <w:rPr>
                <w:color w:val="212529"/>
              </w:rPr>
              <w:t>After the close of the FS Cure Period</w:t>
            </w:r>
          </w:p>
          <w:p w14:paraId="5E1631AE" w14:textId="77777777" w:rsidR="00A96863" w:rsidRPr="00AC47E4" w:rsidRDefault="00A96863" w:rsidP="006247A6">
            <w:pPr>
              <w:numPr>
                <w:ilvl w:val="0"/>
                <w:numId w:val="14"/>
              </w:numPr>
              <w:spacing w:before="100" w:beforeAutospacing="1" w:after="100" w:afterAutospacing="1"/>
              <w:rPr>
                <w:color w:val="212529"/>
              </w:rPr>
            </w:pPr>
            <w:r w:rsidRPr="00AC47E4">
              <w:rPr>
                <w:color w:val="212529"/>
              </w:rPr>
              <w:t>All these other options, are then assumed, to be included in the language, “</w:t>
            </w:r>
            <w:r w:rsidRPr="00AC47E4">
              <w:rPr>
                <w:i/>
                <w:iCs/>
                <w:color w:val="212529"/>
              </w:rPr>
              <w:t>The aggregate of any additional outages that are planned to occur during the Binding Season but have not yet begun at the time of submission must be within the Participant’s remaining surplus (or replaced with other supply).”</w:t>
            </w:r>
          </w:p>
          <w:p w14:paraId="144FE47A" w14:textId="015F3273" w:rsidR="00A96863" w:rsidRPr="00AC47E4" w:rsidRDefault="00A96863" w:rsidP="006247A6">
            <w:pPr>
              <w:numPr>
                <w:ilvl w:val="0"/>
                <w:numId w:val="14"/>
              </w:numPr>
              <w:spacing w:before="100" w:beforeAutospacing="1" w:after="100" w:afterAutospacing="1"/>
              <w:rPr>
                <w:color w:val="212529"/>
              </w:rPr>
            </w:pPr>
            <w:r w:rsidRPr="00AC47E4">
              <w:rPr>
                <w:color w:val="212529"/>
              </w:rPr>
              <w:t>If the Tariff is specifying outages, out at the time of the FS Submittal, and still out once the Binding Season begins, then it is focused on planned outages that are 7+ months in duration.  This equates to outages 215+ days in length.  We would like to understand this thought process.</w:t>
            </w:r>
          </w:p>
          <w:p w14:paraId="57FCE3E0" w14:textId="77777777" w:rsidR="00A96863" w:rsidRPr="00AC47E4" w:rsidRDefault="00A96863" w:rsidP="00A96863">
            <w:pPr>
              <w:pStyle w:val="NormalWeb"/>
              <w:jc w:val="left"/>
              <w:rPr>
                <w:rFonts w:asciiTheme="minorHAnsi" w:hAnsiTheme="minorHAnsi"/>
                <w:color w:val="212529"/>
              </w:rPr>
            </w:pPr>
            <w:r w:rsidRPr="00AC47E4">
              <w:rPr>
                <w:rStyle w:val="Strong"/>
                <w:rFonts w:asciiTheme="minorHAnsi" w:eastAsiaTheme="majorEastAsia" w:hAnsiTheme="minorHAnsi"/>
                <w:color w:val="212529"/>
                <w:u w:val="single"/>
              </w:rPr>
              <w:t>Exemptions</w:t>
            </w:r>
          </w:p>
          <w:p w14:paraId="1BBEF420" w14:textId="77777777" w:rsidR="00A96863" w:rsidRPr="00AC47E4" w:rsidRDefault="00A96863" w:rsidP="00A96863">
            <w:pPr>
              <w:pStyle w:val="NormalWeb"/>
              <w:jc w:val="left"/>
              <w:rPr>
                <w:rFonts w:asciiTheme="minorHAnsi" w:hAnsiTheme="minorHAnsi"/>
                <w:color w:val="212529"/>
              </w:rPr>
            </w:pPr>
            <w:r w:rsidRPr="00AC47E4">
              <w:rPr>
                <w:rFonts w:asciiTheme="minorHAnsi" w:hAnsiTheme="minorHAnsi"/>
                <w:color w:val="212529"/>
              </w:rPr>
              <w:t>16.2.8.1 is very specific as what may qualify for an acceptance.</w:t>
            </w:r>
          </w:p>
          <w:p w14:paraId="07A82ABF" w14:textId="77777777" w:rsidR="00A96863" w:rsidRPr="00AC47E4" w:rsidRDefault="00A96863" w:rsidP="006247A6">
            <w:pPr>
              <w:numPr>
                <w:ilvl w:val="0"/>
                <w:numId w:val="15"/>
              </w:numPr>
              <w:spacing w:before="100" w:beforeAutospacing="1" w:after="100" w:afterAutospacing="1"/>
              <w:rPr>
                <w:color w:val="212529"/>
              </w:rPr>
            </w:pPr>
            <w:r w:rsidRPr="00AC47E4">
              <w:rPr>
                <w:color w:val="212529"/>
              </w:rPr>
              <w:t>Assumption</w:t>
            </w:r>
            <w:proofErr w:type="gramStart"/>
            <w:r w:rsidRPr="00AC47E4">
              <w:rPr>
                <w:color w:val="212529"/>
              </w:rPr>
              <w:t>:  only</w:t>
            </w:r>
            <w:proofErr w:type="gramEnd"/>
            <w:r w:rsidRPr="00AC47E4">
              <w:rPr>
                <w:color w:val="212529"/>
              </w:rPr>
              <w:t xml:space="preserve"> applies to outages defined in 16.2.8, out from FS to Binding Season.  </w:t>
            </w:r>
            <w:proofErr w:type="gramStart"/>
            <w:r w:rsidRPr="00AC47E4">
              <w:rPr>
                <w:color w:val="212529"/>
              </w:rPr>
              <w:t>Thus</w:t>
            </w:r>
            <w:proofErr w:type="gramEnd"/>
            <w:r w:rsidRPr="00AC47E4">
              <w:rPr>
                <w:color w:val="212529"/>
              </w:rPr>
              <w:t xml:space="preserve"> 7+months or 215+ days.</w:t>
            </w:r>
          </w:p>
          <w:p w14:paraId="597CA0ED" w14:textId="77777777" w:rsidR="00A96863" w:rsidRPr="00AC47E4" w:rsidRDefault="00A96863" w:rsidP="006247A6">
            <w:pPr>
              <w:numPr>
                <w:ilvl w:val="1"/>
                <w:numId w:val="15"/>
              </w:numPr>
              <w:spacing w:before="100" w:beforeAutospacing="1" w:after="100" w:afterAutospacing="1"/>
              <w:rPr>
                <w:color w:val="212529"/>
              </w:rPr>
            </w:pPr>
            <w:r w:rsidRPr="00AC47E4">
              <w:rPr>
                <w:color w:val="212529"/>
              </w:rPr>
              <w:t>Also assumed it is limited per resource, out for 7+ months or 215+ days.</w:t>
            </w:r>
          </w:p>
          <w:p w14:paraId="1D367F23" w14:textId="77777777" w:rsidR="00A96863" w:rsidRPr="00AC47E4" w:rsidRDefault="00A96863" w:rsidP="006247A6">
            <w:pPr>
              <w:numPr>
                <w:ilvl w:val="0"/>
                <w:numId w:val="15"/>
              </w:numPr>
              <w:spacing w:before="100" w:beforeAutospacing="1" w:after="100" w:afterAutospacing="1"/>
              <w:rPr>
                <w:color w:val="212529"/>
              </w:rPr>
            </w:pPr>
            <w:r w:rsidRPr="00AC47E4">
              <w:rPr>
                <w:color w:val="212529"/>
              </w:rPr>
              <w:t>Must return within the first 5 days of the Binding Season.</w:t>
            </w:r>
          </w:p>
          <w:p w14:paraId="4EB82FCA" w14:textId="77777777" w:rsidR="00A96863" w:rsidRPr="00AC47E4" w:rsidRDefault="00A96863" w:rsidP="006247A6">
            <w:pPr>
              <w:numPr>
                <w:ilvl w:val="1"/>
                <w:numId w:val="15"/>
              </w:numPr>
              <w:spacing w:before="100" w:beforeAutospacing="1" w:after="100" w:afterAutospacing="1"/>
              <w:rPr>
                <w:color w:val="212529"/>
              </w:rPr>
            </w:pPr>
            <w:r w:rsidRPr="00AC47E4">
              <w:rPr>
                <w:color w:val="212529"/>
              </w:rPr>
              <w:t>Therefore, Summer June 1-5 only?</w:t>
            </w:r>
          </w:p>
          <w:p w14:paraId="0B0E3C91" w14:textId="77777777" w:rsidR="00A96863" w:rsidRPr="00AC47E4" w:rsidRDefault="00A96863" w:rsidP="006247A6">
            <w:pPr>
              <w:numPr>
                <w:ilvl w:val="1"/>
                <w:numId w:val="15"/>
              </w:numPr>
              <w:spacing w:before="100" w:beforeAutospacing="1" w:after="100" w:afterAutospacing="1"/>
              <w:rPr>
                <w:color w:val="212529"/>
              </w:rPr>
            </w:pPr>
            <w:r w:rsidRPr="00AC47E4">
              <w:rPr>
                <w:color w:val="212529"/>
              </w:rPr>
              <w:t>And Winter November 1-5 only?</w:t>
            </w:r>
          </w:p>
          <w:p w14:paraId="7CCEFAB1" w14:textId="4220B56B" w:rsidR="00A96863" w:rsidRPr="00AC47E4" w:rsidRDefault="00A96863" w:rsidP="006247A6">
            <w:pPr>
              <w:numPr>
                <w:ilvl w:val="0"/>
                <w:numId w:val="15"/>
              </w:numPr>
              <w:spacing w:before="100" w:beforeAutospacing="1" w:after="100" w:afterAutospacing="1"/>
              <w:rPr>
                <w:color w:val="212529"/>
              </w:rPr>
            </w:pPr>
            <w:r w:rsidRPr="00AC47E4">
              <w:rPr>
                <w:color w:val="212529"/>
              </w:rPr>
              <w:t>Must not be above a static 500MW</w:t>
            </w:r>
          </w:p>
          <w:p w14:paraId="2B745728" w14:textId="77777777" w:rsidR="00A96863" w:rsidRPr="00AC47E4" w:rsidRDefault="00A96863" w:rsidP="00A96863">
            <w:pPr>
              <w:pStyle w:val="NormalWeb"/>
              <w:jc w:val="left"/>
              <w:rPr>
                <w:rFonts w:asciiTheme="minorHAnsi" w:hAnsiTheme="minorHAnsi"/>
                <w:color w:val="212529"/>
              </w:rPr>
            </w:pPr>
            <w:r w:rsidRPr="00AC47E4">
              <w:rPr>
                <w:rStyle w:val="Strong"/>
                <w:rFonts w:asciiTheme="minorHAnsi" w:eastAsiaTheme="majorEastAsia" w:hAnsiTheme="minorHAnsi"/>
                <w:color w:val="212529"/>
                <w:u w:val="single"/>
              </w:rPr>
              <w:t>Potential Contradiction Tariff/BPM and Need for Clarification</w:t>
            </w:r>
          </w:p>
          <w:p w14:paraId="294060F1" w14:textId="77777777" w:rsidR="00A96863" w:rsidRPr="00AC47E4" w:rsidRDefault="00A96863" w:rsidP="00A96863">
            <w:pPr>
              <w:pStyle w:val="NormalWeb"/>
              <w:jc w:val="left"/>
              <w:rPr>
                <w:rFonts w:asciiTheme="minorHAnsi" w:hAnsiTheme="minorHAnsi"/>
                <w:color w:val="212529"/>
              </w:rPr>
            </w:pPr>
            <w:r w:rsidRPr="00AC47E4">
              <w:rPr>
                <w:rFonts w:asciiTheme="minorHAnsi" w:hAnsiTheme="minorHAnsi"/>
                <w:color w:val="212529"/>
              </w:rPr>
              <w:t>The Tariff does mention in 16.2.8.1 WPP </w:t>
            </w:r>
            <w:r w:rsidRPr="00AC47E4">
              <w:rPr>
                <w:rStyle w:val="Strong"/>
                <w:rFonts w:asciiTheme="minorHAnsi" w:eastAsiaTheme="majorEastAsia" w:hAnsiTheme="minorHAnsi"/>
                <w:color w:val="212529"/>
                <w:u w:val="single"/>
              </w:rPr>
              <w:t>may</w:t>
            </w:r>
            <w:r w:rsidRPr="00AC47E4">
              <w:rPr>
                <w:rFonts w:asciiTheme="minorHAnsi" w:hAnsiTheme="minorHAnsi"/>
                <w:color w:val="212529"/>
              </w:rPr>
              <w:t> approve a qualified acceptance for the FS Submittal should the planned outage return to service within the first five days of the Binding Season.</w:t>
            </w:r>
          </w:p>
          <w:p w14:paraId="25D3B500" w14:textId="77777777" w:rsidR="00A96863" w:rsidRPr="00AC47E4" w:rsidRDefault="00A96863" w:rsidP="00A96863">
            <w:pPr>
              <w:pStyle w:val="NormalWeb"/>
              <w:jc w:val="left"/>
              <w:rPr>
                <w:rFonts w:asciiTheme="minorHAnsi" w:hAnsiTheme="minorHAnsi"/>
                <w:color w:val="212529"/>
              </w:rPr>
            </w:pPr>
            <w:r w:rsidRPr="00AC47E4">
              <w:rPr>
                <w:rFonts w:asciiTheme="minorHAnsi" w:hAnsiTheme="minorHAnsi"/>
                <w:color w:val="212529"/>
              </w:rPr>
              <w:t>However, per BPM 108:</w:t>
            </w:r>
          </w:p>
          <w:p w14:paraId="45D3845C" w14:textId="5861A1ED" w:rsidR="00A96863" w:rsidRPr="00AC47E4" w:rsidRDefault="00A96863" w:rsidP="00A96863">
            <w:pPr>
              <w:pStyle w:val="NormalWeb"/>
              <w:jc w:val="left"/>
              <w:rPr>
                <w:rFonts w:asciiTheme="minorHAnsi" w:hAnsiTheme="minorHAnsi"/>
                <w:color w:val="212529"/>
              </w:rPr>
            </w:pPr>
            <w:r w:rsidRPr="00AC47E4">
              <w:rPr>
                <w:rFonts w:asciiTheme="minorHAnsi" w:hAnsiTheme="minorHAnsi"/>
                <w:color w:val="212529"/>
              </w:rPr>
              <w:t>3.1.5.1.</w:t>
            </w:r>
            <w:r w:rsidR="0014629F" w:rsidRPr="00AC47E4">
              <w:rPr>
                <w:rFonts w:asciiTheme="minorHAnsi" w:hAnsiTheme="minorHAnsi"/>
                <w:i/>
                <w:iCs/>
                <w:color w:val="212529"/>
              </w:rPr>
              <w:t xml:space="preserve"> </w:t>
            </w:r>
            <w:r w:rsidRPr="00AC47E4">
              <w:rPr>
                <w:rFonts w:asciiTheme="minorHAnsi" w:hAnsiTheme="minorHAnsi"/>
                <w:i/>
                <w:iCs/>
                <w:color w:val="212529"/>
              </w:rPr>
              <w:t>“</w:t>
            </w:r>
            <w:r w:rsidRPr="00AC47E4">
              <w:rPr>
                <w:rFonts w:asciiTheme="minorHAnsi" w:hAnsiTheme="minorHAnsi"/>
                <w:i/>
                <w:iCs/>
                <w:color w:val="212529"/>
                <w:shd w:val="clear" w:color="auto" w:fill="FFFF00"/>
              </w:rPr>
              <w:t>Any Qualifying Resource that is out of service at the time of the FS Deadline and is planned to remain out of service for the first five or more days of a month in the Binding Season </w:t>
            </w:r>
            <w:r w:rsidRPr="00AC47E4">
              <w:rPr>
                <w:rStyle w:val="Strong"/>
                <w:rFonts w:asciiTheme="minorHAnsi" w:eastAsiaTheme="majorEastAsia" w:hAnsiTheme="minorHAnsi"/>
                <w:i/>
                <w:iCs/>
                <w:color w:val="212529"/>
                <w:u w:val="single"/>
                <w:shd w:val="clear" w:color="auto" w:fill="FFFF00"/>
              </w:rPr>
              <w:t>cannot</w:t>
            </w:r>
            <w:r w:rsidRPr="00AC47E4">
              <w:rPr>
                <w:rFonts w:asciiTheme="minorHAnsi" w:hAnsiTheme="minorHAnsi"/>
                <w:i/>
                <w:iCs/>
                <w:color w:val="212529"/>
                <w:shd w:val="clear" w:color="auto" w:fill="FFFF00"/>
              </w:rPr>
              <w:t> have such Qualifying Resource’s QCC counted toward meeting the Participant’s FS Capacity Requirement for that month.</w:t>
            </w:r>
            <w:r w:rsidRPr="00AC47E4">
              <w:rPr>
                <w:rFonts w:asciiTheme="minorHAnsi" w:hAnsiTheme="minorHAnsi"/>
                <w:i/>
                <w:iCs/>
                <w:color w:val="212529"/>
              </w:rPr>
              <w:t xml:space="preserve"> To ensure QCC from resources is not utilized to meet a monthly FS Capacity Requirement during the planned outage, the Capacity associated with such resources shall be deducted by identifying the planned outages in the FS </w:t>
            </w:r>
            <w:proofErr w:type="gramStart"/>
            <w:r w:rsidRPr="00AC47E4">
              <w:rPr>
                <w:rFonts w:asciiTheme="minorHAnsi" w:hAnsiTheme="minorHAnsi"/>
                <w:i/>
                <w:iCs/>
                <w:color w:val="212529"/>
              </w:rPr>
              <w:t>Demonstration.”</w:t>
            </w:r>
            <w:proofErr w:type="gramEnd"/>
          </w:p>
          <w:p w14:paraId="5E89A293" w14:textId="77777777" w:rsidR="00A96863" w:rsidRPr="00AC47E4" w:rsidRDefault="00A96863" w:rsidP="006247A6">
            <w:pPr>
              <w:numPr>
                <w:ilvl w:val="0"/>
                <w:numId w:val="16"/>
              </w:numPr>
              <w:spacing w:before="100" w:beforeAutospacing="1" w:after="100" w:afterAutospacing="1"/>
              <w:rPr>
                <w:color w:val="212529"/>
              </w:rPr>
            </w:pPr>
            <w:r w:rsidRPr="00AC47E4">
              <w:rPr>
                <w:color w:val="212529"/>
              </w:rPr>
              <w:lastRenderedPageBreak/>
              <w:t>The Tariff language states WPP </w:t>
            </w:r>
            <w:r w:rsidRPr="00AC47E4">
              <w:rPr>
                <w:color w:val="212529"/>
                <w:u w:val="single"/>
              </w:rPr>
              <w:t>may</w:t>
            </w:r>
            <w:r w:rsidRPr="00AC47E4">
              <w:rPr>
                <w:color w:val="212529"/>
              </w:rPr>
              <w:t xml:space="preserve"> approve </w:t>
            </w:r>
            <w:proofErr w:type="gramStart"/>
            <w:r w:rsidRPr="00AC47E4">
              <w:rPr>
                <w:color w:val="212529"/>
              </w:rPr>
              <w:t>a qualified</w:t>
            </w:r>
            <w:proofErr w:type="gramEnd"/>
            <w:r w:rsidRPr="00AC47E4">
              <w:rPr>
                <w:color w:val="212529"/>
              </w:rPr>
              <w:t xml:space="preserve"> acceptance while the BPM specifies it </w:t>
            </w:r>
            <w:r w:rsidRPr="00AC47E4">
              <w:rPr>
                <w:color w:val="212529"/>
                <w:u w:val="single"/>
              </w:rPr>
              <w:t>cannot</w:t>
            </w:r>
            <w:r w:rsidRPr="00AC47E4">
              <w:rPr>
                <w:color w:val="212529"/>
              </w:rPr>
              <w:t> count.</w:t>
            </w:r>
          </w:p>
          <w:p w14:paraId="5A0E3CF8" w14:textId="02E1C50B" w:rsidR="00A96863" w:rsidRPr="00AC47E4" w:rsidRDefault="00A96863" w:rsidP="006247A6">
            <w:pPr>
              <w:numPr>
                <w:ilvl w:val="0"/>
                <w:numId w:val="16"/>
              </w:numPr>
              <w:spacing w:before="100" w:beforeAutospacing="1" w:after="100" w:afterAutospacing="1"/>
              <w:rPr>
                <w:color w:val="212529"/>
              </w:rPr>
            </w:pPr>
            <w:r w:rsidRPr="00AC47E4">
              <w:rPr>
                <w:color w:val="212529"/>
              </w:rPr>
              <w:t>It’s possible the intent was to quantify an outage lasting longer than the first five days of the binding season cannot count; however, the inclusion of “…</w:t>
            </w:r>
            <w:r w:rsidRPr="00AC47E4">
              <w:rPr>
                <w:i/>
                <w:iCs/>
                <w:color w:val="212529"/>
              </w:rPr>
              <w:t>is planned to remain out of service for the first five </w:t>
            </w:r>
            <w:r w:rsidRPr="00AC47E4">
              <w:rPr>
                <w:i/>
                <w:iCs/>
                <w:color w:val="212529"/>
                <w:u w:val="single"/>
                <w:shd w:val="clear" w:color="auto" w:fill="FFFF00"/>
              </w:rPr>
              <w:t>or</w:t>
            </w:r>
            <w:r w:rsidRPr="00AC47E4">
              <w:rPr>
                <w:i/>
                <w:iCs/>
                <w:color w:val="212529"/>
              </w:rPr>
              <w:t> more days of a month…” </w:t>
            </w:r>
            <w:r w:rsidRPr="00AC47E4">
              <w:rPr>
                <w:color w:val="212529"/>
              </w:rPr>
              <w:t>makes the intent confusing.  Specifically, the inclusion of ‘or’.</w:t>
            </w:r>
          </w:p>
          <w:p w14:paraId="6F45D686" w14:textId="77777777" w:rsidR="00A96863" w:rsidRPr="00AC47E4" w:rsidRDefault="00A96863" w:rsidP="00A96863">
            <w:pPr>
              <w:pStyle w:val="NormalWeb"/>
              <w:jc w:val="left"/>
              <w:rPr>
                <w:rFonts w:asciiTheme="minorHAnsi" w:hAnsiTheme="minorHAnsi"/>
                <w:color w:val="212529"/>
              </w:rPr>
            </w:pPr>
            <w:r w:rsidRPr="00AC47E4">
              <w:rPr>
                <w:rStyle w:val="Strong"/>
                <w:rFonts w:asciiTheme="minorHAnsi" w:eastAsiaTheme="majorEastAsia" w:hAnsiTheme="minorHAnsi"/>
                <w:color w:val="212529"/>
                <w:u w:val="single"/>
              </w:rPr>
              <w:t>Logistical Issues with Planed Outages</w:t>
            </w:r>
          </w:p>
          <w:p w14:paraId="6543CA1D" w14:textId="77777777" w:rsidR="00A96863" w:rsidRPr="00AC47E4" w:rsidRDefault="00A96863" w:rsidP="006247A6">
            <w:pPr>
              <w:numPr>
                <w:ilvl w:val="0"/>
                <w:numId w:val="17"/>
              </w:numPr>
              <w:spacing w:before="100" w:beforeAutospacing="1" w:after="100" w:afterAutospacing="1"/>
              <w:rPr>
                <w:color w:val="212529"/>
              </w:rPr>
            </w:pPr>
            <w:r w:rsidRPr="00AC47E4">
              <w:rPr>
                <w:color w:val="212529"/>
              </w:rPr>
              <w:t>Participants are limited to a specific number of calendar days for maintenance, should they wish to ensure they get full credit for all available QCC values in FS Submittals.</w:t>
            </w:r>
          </w:p>
          <w:p w14:paraId="74ADA90D" w14:textId="77777777" w:rsidR="00A96863" w:rsidRPr="00AC47E4" w:rsidRDefault="00A96863" w:rsidP="006247A6">
            <w:pPr>
              <w:numPr>
                <w:ilvl w:val="0"/>
                <w:numId w:val="17"/>
              </w:numPr>
              <w:spacing w:before="100" w:beforeAutospacing="1" w:after="100" w:afterAutospacing="1"/>
              <w:rPr>
                <w:color w:val="212529"/>
              </w:rPr>
            </w:pPr>
            <w:r w:rsidRPr="00AC47E4">
              <w:rPr>
                <w:color w:val="212529"/>
              </w:rPr>
              <w:t>Between the end of Winter Binding Season and the beginning of the Summer Binding Season</w:t>
            </w:r>
          </w:p>
          <w:p w14:paraId="453B54DA" w14:textId="77777777" w:rsidR="00A96863" w:rsidRPr="00AC47E4" w:rsidRDefault="00A96863" w:rsidP="006247A6">
            <w:pPr>
              <w:numPr>
                <w:ilvl w:val="1"/>
                <w:numId w:val="17"/>
              </w:numPr>
              <w:spacing w:before="100" w:beforeAutospacing="1" w:after="100" w:afterAutospacing="1"/>
              <w:rPr>
                <w:color w:val="212529"/>
              </w:rPr>
            </w:pPr>
            <w:r w:rsidRPr="00AC47E4">
              <w:rPr>
                <w:color w:val="212529"/>
              </w:rPr>
              <w:t>March 16 – May 31</w:t>
            </w:r>
            <w:r w:rsidRPr="00AC47E4">
              <w:rPr>
                <w:color w:val="212529"/>
                <w:vertAlign w:val="superscript"/>
              </w:rPr>
              <w:t>st</w:t>
            </w:r>
          </w:p>
          <w:p w14:paraId="1033163A" w14:textId="77777777" w:rsidR="00A96863" w:rsidRPr="00AC47E4" w:rsidRDefault="00A96863" w:rsidP="006247A6">
            <w:pPr>
              <w:numPr>
                <w:ilvl w:val="1"/>
                <w:numId w:val="17"/>
              </w:numPr>
              <w:spacing w:before="100" w:beforeAutospacing="1" w:after="100" w:afterAutospacing="1"/>
              <w:rPr>
                <w:color w:val="212529"/>
              </w:rPr>
            </w:pPr>
            <w:r w:rsidRPr="00AC47E4">
              <w:rPr>
                <w:color w:val="212529"/>
              </w:rPr>
              <w:t>77 calendar days</w:t>
            </w:r>
          </w:p>
          <w:p w14:paraId="12E8592F" w14:textId="77777777" w:rsidR="00A96863" w:rsidRPr="00AC47E4" w:rsidRDefault="00A96863" w:rsidP="006247A6">
            <w:pPr>
              <w:numPr>
                <w:ilvl w:val="0"/>
                <w:numId w:val="17"/>
              </w:numPr>
              <w:spacing w:before="100" w:beforeAutospacing="1" w:after="100" w:afterAutospacing="1"/>
              <w:rPr>
                <w:color w:val="212529"/>
              </w:rPr>
            </w:pPr>
            <w:r w:rsidRPr="00AC47E4">
              <w:rPr>
                <w:color w:val="212529"/>
              </w:rPr>
              <w:t>Between the end of Summer Binding Season and the beginning of the Winter Binding Season</w:t>
            </w:r>
          </w:p>
          <w:p w14:paraId="76B216B2" w14:textId="77777777" w:rsidR="00A96863" w:rsidRPr="00AC47E4" w:rsidRDefault="00A96863" w:rsidP="006247A6">
            <w:pPr>
              <w:numPr>
                <w:ilvl w:val="1"/>
                <w:numId w:val="17"/>
              </w:numPr>
              <w:spacing w:before="100" w:beforeAutospacing="1" w:after="100" w:afterAutospacing="1"/>
              <w:rPr>
                <w:color w:val="212529"/>
              </w:rPr>
            </w:pPr>
            <w:r w:rsidRPr="00AC47E4">
              <w:rPr>
                <w:color w:val="212529"/>
              </w:rPr>
              <w:t>September 16 – October 31</w:t>
            </w:r>
            <w:r w:rsidRPr="00AC47E4">
              <w:rPr>
                <w:color w:val="212529"/>
                <w:vertAlign w:val="superscript"/>
              </w:rPr>
              <w:t>st</w:t>
            </w:r>
          </w:p>
          <w:p w14:paraId="291D9477" w14:textId="77777777" w:rsidR="00A96863" w:rsidRPr="00AC47E4" w:rsidRDefault="00A96863" w:rsidP="006247A6">
            <w:pPr>
              <w:numPr>
                <w:ilvl w:val="1"/>
                <w:numId w:val="17"/>
              </w:numPr>
              <w:spacing w:before="100" w:beforeAutospacing="1" w:after="100" w:afterAutospacing="1"/>
              <w:rPr>
                <w:color w:val="212529"/>
              </w:rPr>
            </w:pPr>
            <w:r w:rsidRPr="00AC47E4">
              <w:rPr>
                <w:color w:val="212529"/>
              </w:rPr>
              <w:t>46 calendar day</w:t>
            </w:r>
          </w:p>
          <w:p w14:paraId="6ED55EFC" w14:textId="77777777" w:rsidR="00A96863" w:rsidRPr="00AC47E4" w:rsidRDefault="00A96863" w:rsidP="006247A6">
            <w:pPr>
              <w:numPr>
                <w:ilvl w:val="0"/>
                <w:numId w:val="17"/>
              </w:numPr>
              <w:spacing w:before="100" w:beforeAutospacing="1" w:after="100" w:afterAutospacing="1"/>
              <w:rPr>
                <w:color w:val="212529"/>
              </w:rPr>
            </w:pPr>
            <w:proofErr w:type="gramStart"/>
            <w:r w:rsidRPr="00AC47E4">
              <w:rPr>
                <w:color w:val="212529"/>
              </w:rPr>
              <w:t>Total</w:t>
            </w:r>
            <w:proofErr w:type="gramEnd"/>
            <w:r w:rsidRPr="00AC47E4">
              <w:rPr>
                <w:color w:val="212529"/>
              </w:rPr>
              <w:t xml:space="preserve"> of 123 calendar days for maintenance, should a participant wish to avoid risking losing QCC availability.</w:t>
            </w:r>
          </w:p>
          <w:p w14:paraId="0AA9EDE0" w14:textId="77777777" w:rsidR="00A96863" w:rsidRPr="00AC47E4" w:rsidRDefault="00A96863" w:rsidP="006247A6">
            <w:pPr>
              <w:numPr>
                <w:ilvl w:val="1"/>
                <w:numId w:val="17"/>
              </w:numPr>
              <w:spacing w:before="100" w:beforeAutospacing="1" w:after="100" w:afterAutospacing="1"/>
              <w:rPr>
                <w:color w:val="212529"/>
              </w:rPr>
            </w:pPr>
            <w:r w:rsidRPr="00AC47E4">
              <w:rPr>
                <w:color w:val="212529"/>
              </w:rPr>
              <w:t>During these 123 calendar days, 21 WRAP entities (excluding Shell) will be trying to schedule all maintenance</w:t>
            </w:r>
          </w:p>
          <w:p w14:paraId="34175576" w14:textId="77777777" w:rsidR="00A96863" w:rsidRPr="00AC47E4" w:rsidRDefault="00A96863" w:rsidP="006247A6">
            <w:pPr>
              <w:numPr>
                <w:ilvl w:val="2"/>
                <w:numId w:val="17"/>
              </w:numPr>
              <w:spacing w:before="100" w:beforeAutospacing="1" w:after="100" w:afterAutospacing="1"/>
              <w:rPr>
                <w:color w:val="212529"/>
              </w:rPr>
            </w:pPr>
            <w:r w:rsidRPr="00AC47E4">
              <w:rPr>
                <w:color w:val="212529"/>
              </w:rPr>
              <w:t>This potentially could limit the availability of contractor labor, should all entities be vying for the same 123 calendar days.</w:t>
            </w:r>
          </w:p>
          <w:p w14:paraId="4587FE40" w14:textId="61862A32" w:rsidR="00A96863" w:rsidRPr="00AC47E4" w:rsidRDefault="00A96863" w:rsidP="0014629F">
            <w:pPr>
              <w:pStyle w:val="NormalWeb"/>
              <w:jc w:val="left"/>
              <w:rPr>
                <w:rFonts w:asciiTheme="minorHAnsi" w:hAnsiTheme="minorHAnsi"/>
                <w:color w:val="212529"/>
              </w:rPr>
            </w:pPr>
            <w:proofErr w:type="gramStart"/>
            <w:r w:rsidRPr="00AC47E4">
              <w:rPr>
                <w:rFonts w:asciiTheme="minorHAnsi" w:hAnsiTheme="minorHAnsi"/>
                <w:color w:val="212529"/>
              </w:rPr>
              <w:t>This potentially</w:t>
            </w:r>
            <w:proofErr w:type="gramEnd"/>
            <w:r w:rsidRPr="00AC47E4">
              <w:rPr>
                <w:rFonts w:asciiTheme="minorHAnsi" w:hAnsiTheme="minorHAnsi"/>
                <w:color w:val="212529"/>
              </w:rPr>
              <w:t xml:space="preserve"> could inadvertently create a resource adequacy issue, outside of the binding season, as all participants could be taking a great deal of capacity out of service at the same time.</w:t>
            </w:r>
          </w:p>
        </w:tc>
      </w:tr>
      <w:tr w:rsidR="00662DF0" w14:paraId="05FC47EC" w14:textId="77777777" w:rsidTr="003E4C24">
        <w:tc>
          <w:tcPr>
            <w:tcW w:w="9350" w:type="dxa"/>
            <w:gridSpan w:val="4"/>
          </w:tcPr>
          <w:p w14:paraId="49FE7FDC" w14:textId="77777777" w:rsidR="00662DF0" w:rsidRPr="006008A2" w:rsidRDefault="00662DF0" w:rsidP="003E4C24">
            <w:r>
              <w:rPr>
                <w:b/>
                <w:bCs/>
              </w:rPr>
              <w:lastRenderedPageBreak/>
              <w:t xml:space="preserve">Proposed solution to the issue described: </w:t>
            </w:r>
          </w:p>
          <w:p w14:paraId="437BF895" w14:textId="0CEBF776" w:rsidR="00662DF0" w:rsidRPr="00AB7637" w:rsidRDefault="009E0903" w:rsidP="003E4C24">
            <w:r w:rsidRPr="009E0903">
              <w:t xml:space="preserve">More clearly defined language to the WRAP Tariff, specifically articles 16.2.8 and 16.2.8.1.  Also, change to the language for BPM 108, specifically 3.1.5.1.  Broaden the definition to planned outages, specify what qualifies for an exception. Provide more </w:t>
            </w:r>
            <w:proofErr w:type="gramStart"/>
            <w:r w:rsidRPr="009E0903">
              <w:t>flexibilities</w:t>
            </w:r>
            <w:proofErr w:type="gramEnd"/>
            <w:r w:rsidRPr="009E0903">
              <w:t xml:space="preserve"> for WRAP entities to better manage planned outages.  Allow for some flexibility for participants to take into consideration of their portfolio size.  Not </w:t>
            </w:r>
            <w:proofErr w:type="gramStart"/>
            <w:r w:rsidRPr="009E0903">
              <w:t>limit</w:t>
            </w:r>
            <w:proofErr w:type="gramEnd"/>
            <w:r w:rsidRPr="009E0903">
              <w:t xml:space="preserve"> to single outages, out for long durations, and limited to a static MW value.</w:t>
            </w:r>
          </w:p>
        </w:tc>
      </w:tr>
      <w:tr w:rsidR="00662DF0" w14:paraId="2BEC7EB8" w14:textId="77777777" w:rsidTr="003E4C24">
        <w:tc>
          <w:tcPr>
            <w:tcW w:w="9350" w:type="dxa"/>
            <w:gridSpan w:val="4"/>
          </w:tcPr>
          <w:p w14:paraId="3A5FC967" w14:textId="77777777" w:rsidR="00662DF0" w:rsidRDefault="00662DF0" w:rsidP="003E4C24">
            <w:pPr>
              <w:rPr>
                <w:b/>
                <w:bCs/>
              </w:rPr>
            </w:pPr>
            <w:r>
              <w:rPr>
                <w:b/>
                <w:bCs/>
              </w:rPr>
              <w:t>Specific document and language you would like changed:</w:t>
            </w:r>
          </w:p>
          <w:p w14:paraId="68679877" w14:textId="150BAAD0" w:rsidR="00FB1EEF" w:rsidRPr="00FB1EEF" w:rsidRDefault="00FB1EEF" w:rsidP="00FB1EEF">
            <w:r w:rsidRPr="00FB1EEF">
              <w:t>16.2.8</w:t>
            </w:r>
            <w:r w:rsidRPr="00FB1EEF">
              <w:rPr>
                <w:i/>
                <w:iCs/>
              </w:rPr>
              <w:t xml:space="preserve"> “Participants shall include in their Forward Showing Submittal for a Binding Season information on all Qualifying Resources that are currently out of service with a scheduled return date that falls during the Binding Season.  Capacity associated with such resources must be deducted from Participants’ Portfolio QCC as specified in the Business Practice Manuals to ensure no credit is granted for such resources during the </w:t>
            </w:r>
            <w:r w:rsidRPr="00FB1EEF">
              <w:rPr>
                <w:i/>
                <w:iCs/>
              </w:rPr>
              <w:lastRenderedPageBreak/>
              <w:t>planned outage.  The aggregate of any additional outages that are planned to occur during the Binding Season but have not yet begun at the time of submission must be within the Participant’s remaining surplus (or replaced with other supply).  Participants may provide information on all Qualifying Resources that are planned to be out of service but if such data cannot be supplied with reasonable specificity, a Participant may provide Senior Official Attestation at the time of the submission of its FS Submittal this is expects the sum of planned outages to be equal to or less than the surplus stated in its FS Submittal throughout the Binding Season.”</w:t>
            </w:r>
          </w:p>
          <w:p w14:paraId="6950FD19" w14:textId="7BA49ABE" w:rsidR="00FB1EEF" w:rsidRPr="00FB1EEF" w:rsidRDefault="00FB1EEF" w:rsidP="00FB1EEF">
            <w:r w:rsidRPr="00FB1EEF">
              <w:rPr>
                <w:i/>
                <w:iCs/>
              </w:rPr>
              <w:t>16.2.8.1 “If a Qualifying Resource is planned to return to service within the first five days of a Binding Season, WPP may approve a qualified acceptance of the FS Submittal, provided the deficiency is less than 500 MW.”</w:t>
            </w:r>
          </w:p>
          <w:p w14:paraId="630A8930" w14:textId="77777777" w:rsidR="00FB1EEF" w:rsidRPr="00FB1EEF" w:rsidRDefault="00FB1EEF" w:rsidP="00FB1EEF">
            <w:r w:rsidRPr="00FB1EEF">
              <w:t> </w:t>
            </w:r>
          </w:p>
          <w:p w14:paraId="263DDFDD" w14:textId="7C6D9F93" w:rsidR="00FB1EEF" w:rsidRPr="00FB1EEF" w:rsidRDefault="00FB1EEF" w:rsidP="00FB1EEF">
            <w:r w:rsidRPr="00FB1EEF">
              <w:t>3.1.5.1</w:t>
            </w:r>
            <w:r w:rsidRPr="00FB1EEF">
              <w:rPr>
                <w:i/>
                <w:iCs/>
              </w:rPr>
              <w:t xml:space="preserve"> “Any Qualifying Resource that is out of service at the time of the FS Deadline and is planned to remain out of service for the first five or more days of a month in the Binding Season cannot have such Qualifying Resource’s QCC counted toward meeting the Participant’s FS Capacity Requirement for that month.</w:t>
            </w:r>
          </w:p>
          <w:p w14:paraId="07BE55C1" w14:textId="77777777" w:rsidR="00662DF0" w:rsidRPr="003E595A" w:rsidRDefault="00662DF0" w:rsidP="003E4C24"/>
        </w:tc>
      </w:tr>
      <w:tr w:rsidR="00662DF0" w14:paraId="3442E17B" w14:textId="77777777" w:rsidTr="003E4C24">
        <w:tc>
          <w:tcPr>
            <w:tcW w:w="9350" w:type="dxa"/>
            <w:gridSpan w:val="4"/>
          </w:tcPr>
          <w:p w14:paraId="2AC615C3" w14:textId="77777777" w:rsidR="00662DF0" w:rsidRDefault="00662DF0" w:rsidP="003E4C24">
            <w:pPr>
              <w:rPr>
                <w:b/>
                <w:bCs/>
              </w:rPr>
            </w:pPr>
            <w:r>
              <w:rPr>
                <w:b/>
                <w:bCs/>
              </w:rPr>
              <w:lastRenderedPageBreak/>
              <w:t xml:space="preserve">Suggestion for how language could be updated to address </w:t>
            </w:r>
            <w:proofErr w:type="gramStart"/>
            <w:r>
              <w:rPr>
                <w:b/>
                <w:bCs/>
              </w:rPr>
              <w:t>issue</w:t>
            </w:r>
            <w:proofErr w:type="gramEnd"/>
            <w:r>
              <w:rPr>
                <w:b/>
                <w:bCs/>
              </w:rPr>
              <w:t>:</w:t>
            </w:r>
          </w:p>
          <w:p w14:paraId="068C2FEB" w14:textId="77777777" w:rsidR="00340CDD" w:rsidRPr="00340CDD" w:rsidRDefault="00340CDD" w:rsidP="00340CDD">
            <w:r w:rsidRPr="00340CDD">
              <w:rPr>
                <w:b/>
                <w:bCs/>
                <w:u w:val="single"/>
              </w:rPr>
              <w:t xml:space="preserve">Potential Recommendations </w:t>
            </w:r>
            <w:proofErr w:type="gramStart"/>
            <w:r w:rsidRPr="00340CDD">
              <w:rPr>
                <w:b/>
                <w:bCs/>
                <w:u w:val="single"/>
              </w:rPr>
              <w:t>to</w:t>
            </w:r>
            <w:proofErr w:type="gramEnd"/>
            <w:r w:rsidRPr="00340CDD">
              <w:rPr>
                <w:b/>
                <w:bCs/>
                <w:u w:val="single"/>
              </w:rPr>
              <w:t xml:space="preserve"> Language Changes to the Tariff and/or BPM</w:t>
            </w:r>
          </w:p>
          <w:p w14:paraId="4B16EEDC" w14:textId="77777777" w:rsidR="00340CDD" w:rsidRPr="00340CDD" w:rsidRDefault="00340CDD" w:rsidP="006247A6">
            <w:pPr>
              <w:numPr>
                <w:ilvl w:val="0"/>
                <w:numId w:val="18"/>
              </w:numPr>
            </w:pPr>
            <w:r w:rsidRPr="00340CDD">
              <w:t>Adjust the start of the Winter Season from November 1</w:t>
            </w:r>
            <w:r w:rsidRPr="00340CDD">
              <w:rPr>
                <w:vertAlign w:val="superscript"/>
              </w:rPr>
              <w:t>st</w:t>
            </w:r>
            <w:r w:rsidRPr="00340CDD">
              <w:t> to December 1</w:t>
            </w:r>
            <w:r w:rsidRPr="00340CDD">
              <w:rPr>
                <w:vertAlign w:val="superscript"/>
              </w:rPr>
              <w:t>st</w:t>
            </w:r>
            <w:r w:rsidRPr="00340CDD">
              <w:t> (or a mid-November date)</w:t>
            </w:r>
          </w:p>
          <w:p w14:paraId="49D6595E" w14:textId="77777777" w:rsidR="00340CDD" w:rsidRPr="00340CDD" w:rsidRDefault="00340CDD" w:rsidP="006247A6">
            <w:pPr>
              <w:numPr>
                <w:ilvl w:val="1"/>
                <w:numId w:val="18"/>
              </w:numPr>
            </w:pPr>
            <w:r w:rsidRPr="00340CDD">
              <w:t>PNM has an “unwritten rule”, per the direction of our generation personnel, that it’s acceptable to schedule planned maintenance up until Thanksgiving week, specifically for contract labor.</w:t>
            </w:r>
          </w:p>
          <w:p w14:paraId="3F2F571F" w14:textId="77777777" w:rsidR="00340CDD" w:rsidRPr="00340CDD" w:rsidRDefault="00340CDD" w:rsidP="006247A6">
            <w:pPr>
              <w:numPr>
                <w:ilvl w:val="1"/>
                <w:numId w:val="18"/>
              </w:numPr>
            </w:pPr>
            <w:r w:rsidRPr="00340CDD">
              <w:t>In the spring the “unwritten rule” is scheduling up until Memorial Day week.</w:t>
            </w:r>
          </w:p>
          <w:p w14:paraId="162E104A" w14:textId="77777777" w:rsidR="00340CDD" w:rsidRPr="00340CDD" w:rsidRDefault="00340CDD" w:rsidP="006247A6">
            <w:pPr>
              <w:numPr>
                <w:ilvl w:val="1"/>
                <w:numId w:val="18"/>
              </w:numPr>
            </w:pPr>
            <w:r w:rsidRPr="00340CDD">
              <w:t>Consideration for what may be “Winter” or “Summer” binding seasons for SWEDE may differ for MIDC, allow for some flexibility.</w:t>
            </w:r>
          </w:p>
          <w:p w14:paraId="00339A10" w14:textId="77777777" w:rsidR="00340CDD" w:rsidRPr="00340CDD" w:rsidRDefault="00340CDD" w:rsidP="006247A6">
            <w:pPr>
              <w:numPr>
                <w:ilvl w:val="0"/>
                <w:numId w:val="18"/>
              </w:numPr>
            </w:pPr>
            <w:r w:rsidRPr="00340CDD">
              <w:t>Remove the language that specifies “…</w:t>
            </w:r>
            <w:r w:rsidRPr="00340CDD">
              <w:rPr>
                <w:i/>
                <w:iCs/>
              </w:rPr>
              <w:t>all Qualifying Resources that are currently out of service (at FS) with a scheduled return date that falls during the Binding Season.”</w:t>
            </w:r>
          </w:p>
          <w:p w14:paraId="56AA0D9C" w14:textId="77777777" w:rsidR="00340CDD" w:rsidRPr="00340CDD" w:rsidRDefault="00340CDD" w:rsidP="006247A6">
            <w:pPr>
              <w:numPr>
                <w:ilvl w:val="1"/>
                <w:numId w:val="18"/>
              </w:numPr>
            </w:pPr>
            <w:r w:rsidRPr="00340CDD">
              <w:t>Eliminate the specification of outages that are 215+ days in length.</w:t>
            </w:r>
          </w:p>
          <w:p w14:paraId="54D9038C" w14:textId="77777777" w:rsidR="00340CDD" w:rsidRPr="00340CDD" w:rsidRDefault="00340CDD" w:rsidP="006247A6">
            <w:pPr>
              <w:numPr>
                <w:ilvl w:val="1"/>
                <w:numId w:val="18"/>
              </w:numPr>
            </w:pPr>
            <w:r w:rsidRPr="00340CDD">
              <w:t>Eliminate that it’s limited to a single unit (or units).</w:t>
            </w:r>
          </w:p>
          <w:p w14:paraId="2469ECF9" w14:textId="77777777" w:rsidR="00340CDD" w:rsidRPr="00340CDD" w:rsidRDefault="00340CDD" w:rsidP="006247A6">
            <w:pPr>
              <w:numPr>
                <w:ilvl w:val="0"/>
                <w:numId w:val="18"/>
              </w:numPr>
            </w:pPr>
            <w:r w:rsidRPr="00340CDD">
              <w:t>Change Tariff and BPM language that allows for entities to submit a Qualified Acceptance for outages, falling within the Binding Season, provided they are: (just examples, this could be added to)</w:t>
            </w:r>
          </w:p>
          <w:p w14:paraId="0EB4E181" w14:textId="77777777" w:rsidR="00340CDD" w:rsidRPr="00340CDD" w:rsidRDefault="00340CDD" w:rsidP="006247A6">
            <w:pPr>
              <w:numPr>
                <w:ilvl w:val="1"/>
                <w:numId w:val="18"/>
              </w:numPr>
            </w:pPr>
            <w:r w:rsidRPr="00340CDD">
              <w:t>Within the first or last XX days (number TBD) of the Binding Season.</w:t>
            </w:r>
          </w:p>
          <w:p w14:paraId="4C3BCB8F" w14:textId="77777777" w:rsidR="00340CDD" w:rsidRPr="00340CDD" w:rsidRDefault="00340CDD" w:rsidP="006247A6">
            <w:pPr>
              <w:numPr>
                <w:ilvl w:val="2"/>
                <w:numId w:val="18"/>
              </w:numPr>
            </w:pPr>
            <w:r w:rsidRPr="00340CDD">
              <w:t>Or eliminate this definition all together.</w:t>
            </w:r>
          </w:p>
          <w:p w14:paraId="2CFD018B" w14:textId="77777777" w:rsidR="00340CDD" w:rsidRPr="00340CDD" w:rsidRDefault="00340CDD" w:rsidP="006247A6">
            <w:pPr>
              <w:numPr>
                <w:ilvl w:val="1"/>
                <w:numId w:val="18"/>
              </w:numPr>
            </w:pPr>
            <w:r w:rsidRPr="00340CDD">
              <w:t>The outage is not planned for a duration longer than any 5 days total (or number TBD) within the Binding Season.</w:t>
            </w:r>
          </w:p>
          <w:p w14:paraId="01310E1D" w14:textId="77777777" w:rsidR="00340CDD" w:rsidRPr="00340CDD" w:rsidRDefault="00340CDD" w:rsidP="006247A6">
            <w:pPr>
              <w:numPr>
                <w:ilvl w:val="1"/>
                <w:numId w:val="18"/>
              </w:numPr>
            </w:pPr>
            <w:r w:rsidRPr="00340CDD">
              <w:t>The outage(s) is(are) a portfolio wide threshold.</w:t>
            </w:r>
          </w:p>
          <w:p w14:paraId="51F70F21" w14:textId="77777777" w:rsidR="00340CDD" w:rsidRPr="00340CDD" w:rsidRDefault="00340CDD" w:rsidP="006247A6">
            <w:pPr>
              <w:numPr>
                <w:ilvl w:val="2"/>
                <w:numId w:val="18"/>
              </w:numPr>
            </w:pPr>
            <w:r w:rsidRPr="00340CDD">
              <w:t>Eliminate the static value of 500MW for all participants regardless of size</w:t>
            </w:r>
          </w:p>
          <w:p w14:paraId="0E0C3F5B" w14:textId="77777777" w:rsidR="00340CDD" w:rsidRPr="00340CDD" w:rsidRDefault="00340CDD" w:rsidP="006247A6">
            <w:pPr>
              <w:numPr>
                <w:ilvl w:val="2"/>
                <w:numId w:val="18"/>
              </w:numPr>
            </w:pPr>
            <w:r w:rsidRPr="00340CDD">
              <w:lastRenderedPageBreak/>
              <w:t>Perhaps make the value a percentage of a participant’s P50 Load + PRM (TBD)</w:t>
            </w:r>
          </w:p>
          <w:p w14:paraId="0C3DA72B" w14:textId="77777777" w:rsidR="00662DF0" w:rsidRPr="004A50B4" w:rsidRDefault="00662DF0" w:rsidP="003E4C24"/>
        </w:tc>
      </w:tr>
      <w:tr w:rsidR="00662DF0" w14:paraId="3BD28321" w14:textId="77777777" w:rsidTr="003E4C24">
        <w:tc>
          <w:tcPr>
            <w:tcW w:w="9350" w:type="dxa"/>
            <w:gridSpan w:val="4"/>
          </w:tcPr>
          <w:p w14:paraId="04D102C1" w14:textId="77777777" w:rsidR="00662DF0" w:rsidRDefault="00662DF0" w:rsidP="003E4C24">
            <w:r>
              <w:rPr>
                <w:b/>
                <w:bCs/>
              </w:rPr>
              <w:lastRenderedPageBreak/>
              <w:t>Describe the benefits that will be realized from this change:</w:t>
            </w:r>
          </w:p>
          <w:p w14:paraId="05B038E6" w14:textId="77777777" w:rsidR="00340CDD" w:rsidRPr="00340CDD" w:rsidRDefault="00340CDD" w:rsidP="00340CDD">
            <w:r w:rsidRPr="00340CDD">
              <w:t xml:space="preserve">Clarifying the intent of the Tariff and BPM language would be beneficial.  Allowing entities to better understand which outages may qualify for </w:t>
            </w:r>
            <w:proofErr w:type="gramStart"/>
            <w:r w:rsidRPr="00340CDD">
              <w:t>an acceptance</w:t>
            </w:r>
            <w:proofErr w:type="gramEnd"/>
            <w:r w:rsidRPr="00340CDD">
              <w:t>. </w:t>
            </w:r>
          </w:p>
          <w:p w14:paraId="54839503" w14:textId="77777777" w:rsidR="00340CDD" w:rsidRPr="00340CDD" w:rsidRDefault="00340CDD" w:rsidP="00340CDD">
            <w:r w:rsidRPr="00340CDD">
              <w:t>Also, these recommendations would provide some flexibility to entities, specifically potentially expanding the overall maintenance window by 60 calendar days. </w:t>
            </w:r>
          </w:p>
          <w:p w14:paraId="61635C23" w14:textId="3FA381FD" w:rsidR="00662DF0" w:rsidRPr="00A5483E" w:rsidRDefault="00340CDD" w:rsidP="003E4C24">
            <w:r w:rsidRPr="00340CDD">
              <w:t xml:space="preserve">Lastly, it would also ensure all WECC entities can comfortably schedule required maintenance and not be competing with one another for limited </w:t>
            </w:r>
            <w:proofErr w:type="gramStart"/>
            <w:r w:rsidRPr="00340CDD">
              <w:t>resources, or</w:t>
            </w:r>
            <w:proofErr w:type="gramEnd"/>
            <w:r w:rsidRPr="00340CDD">
              <w:t xml:space="preserve"> inadvertently creating resource adequacy issues outside of Binding Seasons.</w:t>
            </w:r>
          </w:p>
        </w:tc>
      </w:tr>
      <w:tr w:rsidR="00662DF0" w14:paraId="2338CE86" w14:textId="77777777" w:rsidTr="003E4C24">
        <w:tc>
          <w:tcPr>
            <w:tcW w:w="9350" w:type="dxa"/>
            <w:gridSpan w:val="4"/>
          </w:tcPr>
          <w:p w14:paraId="15FD6FB8" w14:textId="77777777" w:rsidR="00662DF0" w:rsidRDefault="00662DF0" w:rsidP="003E4C24">
            <w:pPr>
              <w:rPr>
                <w:b/>
                <w:bCs/>
              </w:rPr>
            </w:pPr>
            <w:r>
              <w:rPr>
                <w:b/>
                <w:bCs/>
              </w:rPr>
              <w:t>Any data/information that would characterize the importance of the issue:</w:t>
            </w:r>
          </w:p>
          <w:p w14:paraId="36B39A72" w14:textId="7EBEA1DF" w:rsidR="00662DF0" w:rsidRPr="00324C95" w:rsidRDefault="00340CDD" w:rsidP="003E4C24">
            <w:r>
              <w:t>-</w:t>
            </w:r>
          </w:p>
        </w:tc>
      </w:tr>
    </w:tbl>
    <w:p w14:paraId="6E801844" w14:textId="4006D72D" w:rsidR="000C7C0E" w:rsidRDefault="000C7C0E" w:rsidP="00EE62E8">
      <w:pPr>
        <w:rPr>
          <w:rFonts w:eastAsiaTheme="majorEastAsia"/>
        </w:rPr>
      </w:pPr>
    </w:p>
    <w:p w14:paraId="6179A180" w14:textId="77777777" w:rsidR="000C7C0E" w:rsidRDefault="000C7C0E">
      <w:pPr>
        <w:rPr>
          <w:rFonts w:eastAsiaTheme="majorEastAsia"/>
        </w:rPr>
      </w:pPr>
      <w:r>
        <w:rPr>
          <w:rFonts w:eastAsiaTheme="majorEastAsia"/>
        </w:rPr>
        <w:br w:type="page"/>
      </w:r>
    </w:p>
    <w:tbl>
      <w:tblPr>
        <w:tblStyle w:val="TableGrid"/>
        <w:tblW w:w="0" w:type="auto"/>
        <w:tblLook w:val="04A0" w:firstRow="1" w:lastRow="0" w:firstColumn="1" w:lastColumn="0" w:noHBand="0" w:noVBand="1"/>
      </w:tblPr>
      <w:tblGrid>
        <w:gridCol w:w="3116"/>
        <w:gridCol w:w="1559"/>
        <w:gridCol w:w="1558"/>
        <w:gridCol w:w="3117"/>
      </w:tblGrid>
      <w:tr w:rsidR="000C7C0E" w14:paraId="2F930F5E" w14:textId="77777777" w:rsidTr="003E4C24">
        <w:tc>
          <w:tcPr>
            <w:tcW w:w="9350" w:type="dxa"/>
            <w:gridSpan w:val="4"/>
          </w:tcPr>
          <w:p w14:paraId="1235A8A2" w14:textId="4E5F6683" w:rsidR="000C7C0E" w:rsidRDefault="000C7C0E" w:rsidP="003E4C24">
            <w:pPr>
              <w:pStyle w:val="Heading1"/>
            </w:pPr>
            <w:bookmarkStart w:id="55" w:name="_Toc189746904"/>
            <w:bookmarkStart w:id="56" w:name="_Toc189840330"/>
            <w:r>
              <w:lastRenderedPageBreak/>
              <w:t>2024-CRF-0</w:t>
            </w:r>
            <w:r w:rsidR="007E5792">
              <w:t>17</w:t>
            </w:r>
            <w:r>
              <w:t xml:space="preserve"> / </w:t>
            </w:r>
            <w:r w:rsidR="00042227">
              <w:t>IPC</w:t>
            </w:r>
            <w:r>
              <w:t xml:space="preserve"> / </w:t>
            </w:r>
            <w:r w:rsidR="005952EF">
              <w:t>Monthly PRM Volatility</w:t>
            </w:r>
            <w:bookmarkEnd w:id="55"/>
            <w:bookmarkEnd w:id="56"/>
          </w:p>
        </w:tc>
      </w:tr>
      <w:tr w:rsidR="000C7C0E" w14:paraId="415ED2FE" w14:textId="77777777" w:rsidTr="003E4C24">
        <w:tc>
          <w:tcPr>
            <w:tcW w:w="3116" w:type="dxa"/>
          </w:tcPr>
          <w:p w14:paraId="37C14BB0" w14:textId="77777777" w:rsidR="000C7C0E" w:rsidRPr="00FD78B3" w:rsidRDefault="000C7C0E" w:rsidP="003E4C24">
            <w:pPr>
              <w:rPr>
                <w:b/>
                <w:bCs/>
                <w:color w:val="153D63" w:themeColor="text2" w:themeTint="E6"/>
              </w:rPr>
            </w:pPr>
            <w:r w:rsidRPr="00FD78B3">
              <w:rPr>
                <w:b/>
                <w:bCs/>
                <w:color w:val="153D63" w:themeColor="text2" w:themeTint="E6"/>
              </w:rPr>
              <w:t xml:space="preserve">WRAP Area: </w:t>
            </w:r>
          </w:p>
          <w:p w14:paraId="0D815DCE" w14:textId="383170D7" w:rsidR="000C7C0E" w:rsidRPr="00FD78B3" w:rsidRDefault="00E67164" w:rsidP="003E4C24">
            <w:pPr>
              <w:rPr>
                <w:color w:val="153D63" w:themeColor="text2" w:themeTint="E6"/>
              </w:rPr>
            </w:pPr>
            <w:r>
              <w:rPr>
                <w:color w:val="153D63" w:themeColor="text2" w:themeTint="E6"/>
              </w:rPr>
              <w:t>FS Capacity Requirement</w:t>
            </w:r>
          </w:p>
        </w:tc>
        <w:tc>
          <w:tcPr>
            <w:tcW w:w="3117" w:type="dxa"/>
            <w:gridSpan w:val="2"/>
          </w:tcPr>
          <w:p w14:paraId="36F86A86" w14:textId="6719C2A8" w:rsidR="000C7C0E" w:rsidRDefault="00C1275B" w:rsidP="003E4C24">
            <w:pPr>
              <w:rPr>
                <w:color w:val="153D63" w:themeColor="text2" w:themeTint="E6"/>
              </w:rPr>
            </w:pPr>
            <w:r>
              <w:rPr>
                <w:b/>
                <w:bCs/>
                <w:color w:val="153D63" w:themeColor="text2" w:themeTint="E6"/>
              </w:rPr>
              <w:t>Tariff</w:t>
            </w:r>
            <w:r w:rsidR="000C7C0E" w:rsidRPr="004E4785">
              <w:rPr>
                <w:b/>
                <w:bCs/>
                <w:color w:val="153D63" w:themeColor="text2" w:themeTint="E6"/>
              </w:rPr>
              <w:t xml:space="preserve"> Change</w:t>
            </w:r>
            <w:r w:rsidR="000C7C0E" w:rsidRPr="00FD78B3">
              <w:rPr>
                <w:color w:val="153D63" w:themeColor="text2" w:themeTint="E6"/>
              </w:rPr>
              <w:t>:</w:t>
            </w:r>
            <w:r w:rsidR="000C7C0E">
              <w:rPr>
                <w:color w:val="153D63" w:themeColor="text2" w:themeTint="E6"/>
              </w:rPr>
              <w:t xml:space="preserve"> </w:t>
            </w:r>
          </w:p>
          <w:p w14:paraId="731B637A" w14:textId="7DB0825D" w:rsidR="000C7C0E" w:rsidRPr="00FD78B3" w:rsidRDefault="00EA30ED" w:rsidP="003E4C24">
            <w:pPr>
              <w:rPr>
                <w:color w:val="153D63" w:themeColor="text2" w:themeTint="E6"/>
              </w:rPr>
            </w:pPr>
            <w:r>
              <w:rPr>
                <w:color w:val="153D63" w:themeColor="text2" w:themeTint="E6"/>
              </w:rPr>
              <w:t>Yes</w:t>
            </w:r>
          </w:p>
        </w:tc>
        <w:tc>
          <w:tcPr>
            <w:tcW w:w="3117" w:type="dxa"/>
          </w:tcPr>
          <w:p w14:paraId="7CC4467D" w14:textId="77777777" w:rsidR="000C7C0E" w:rsidRDefault="000C7C0E" w:rsidP="003E4C24">
            <w:pPr>
              <w:rPr>
                <w:b/>
                <w:bCs/>
                <w:color w:val="153D63" w:themeColor="text2" w:themeTint="E6"/>
              </w:rPr>
            </w:pPr>
            <w:r w:rsidRPr="004E4785">
              <w:rPr>
                <w:b/>
                <w:bCs/>
                <w:color w:val="153D63" w:themeColor="text2" w:themeTint="E6"/>
              </w:rPr>
              <w:t>Time Score:</w:t>
            </w:r>
          </w:p>
          <w:p w14:paraId="10D11D54" w14:textId="1C82C87E" w:rsidR="000C7C0E" w:rsidRPr="004E4785" w:rsidRDefault="00EA30ED" w:rsidP="003E4C24">
            <w:pPr>
              <w:rPr>
                <w:color w:val="153D63" w:themeColor="text2" w:themeTint="E6"/>
              </w:rPr>
            </w:pPr>
            <w:r>
              <w:rPr>
                <w:color w:val="153D63" w:themeColor="text2" w:themeTint="E6"/>
              </w:rPr>
              <w:t>Long</w:t>
            </w:r>
          </w:p>
        </w:tc>
      </w:tr>
      <w:tr w:rsidR="000C7C0E" w14:paraId="5465A1EF" w14:textId="77777777" w:rsidTr="003E4C24">
        <w:tc>
          <w:tcPr>
            <w:tcW w:w="4675" w:type="dxa"/>
            <w:gridSpan w:val="2"/>
          </w:tcPr>
          <w:p w14:paraId="6DD12BF1" w14:textId="3FE32CF2" w:rsidR="000C7C0E" w:rsidRDefault="000C7C0E" w:rsidP="003E4C24">
            <w:r w:rsidRPr="00016218">
              <w:rPr>
                <w:b/>
                <w:bCs/>
              </w:rPr>
              <w:t>Lead Sponsor</w:t>
            </w:r>
            <w:r>
              <w:t xml:space="preserve">: </w:t>
            </w:r>
            <w:r w:rsidR="00EA30ED">
              <w:t>Nicole Blackwell</w:t>
            </w:r>
          </w:p>
          <w:p w14:paraId="0C8FBC4F" w14:textId="588AD1DF" w:rsidR="000C7C0E" w:rsidRDefault="00EA30ED" w:rsidP="003E4C24">
            <w:r>
              <w:t>nblackwell@idahopower.com</w:t>
            </w:r>
          </w:p>
        </w:tc>
        <w:tc>
          <w:tcPr>
            <w:tcW w:w="4675" w:type="dxa"/>
            <w:gridSpan w:val="2"/>
          </w:tcPr>
          <w:p w14:paraId="0137CAA4" w14:textId="77777777" w:rsidR="000C7C0E" w:rsidRPr="00651CDC" w:rsidRDefault="000C7C0E" w:rsidP="003E4C24">
            <w:r>
              <w:rPr>
                <w:b/>
                <w:bCs/>
              </w:rPr>
              <w:t xml:space="preserve">Co-Sponsor: </w:t>
            </w:r>
          </w:p>
        </w:tc>
      </w:tr>
      <w:tr w:rsidR="000C7C0E" w14:paraId="22C65EB8" w14:textId="77777777" w:rsidTr="003E4C24">
        <w:tc>
          <w:tcPr>
            <w:tcW w:w="9350" w:type="dxa"/>
            <w:gridSpan w:val="4"/>
          </w:tcPr>
          <w:p w14:paraId="5A023C0B" w14:textId="26CE66A6" w:rsidR="000C7C0E" w:rsidRPr="00C329E4" w:rsidRDefault="000C7C0E" w:rsidP="003E4C24">
            <w:r w:rsidRPr="00F64D69">
              <w:rPr>
                <w:b/>
                <w:bCs/>
              </w:rPr>
              <w:t>Summary</w:t>
            </w:r>
            <w:r>
              <w:t xml:space="preserve">: </w:t>
            </w:r>
            <w:r w:rsidR="0030446C">
              <w:t>PRMs</w:t>
            </w:r>
          </w:p>
        </w:tc>
      </w:tr>
      <w:tr w:rsidR="000C7C0E" w14:paraId="597D5258" w14:textId="77777777" w:rsidTr="003E4C24">
        <w:tc>
          <w:tcPr>
            <w:tcW w:w="9350" w:type="dxa"/>
            <w:gridSpan w:val="4"/>
          </w:tcPr>
          <w:p w14:paraId="2F2C81D3" w14:textId="77777777" w:rsidR="000C7C0E" w:rsidRPr="006008A2" w:rsidRDefault="000C7C0E" w:rsidP="003E4C24">
            <w:r>
              <w:rPr>
                <w:b/>
                <w:bCs/>
              </w:rPr>
              <w:t xml:space="preserve">Description of the issue: </w:t>
            </w:r>
          </w:p>
        </w:tc>
      </w:tr>
      <w:tr w:rsidR="000C7C0E" w14:paraId="54BF2E8B" w14:textId="77777777" w:rsidTr="003E4C24">
        <w:tc>
          <w:tcPr>
            <w:tcW w:w="9350" w:type="dxa"/>
            <w:gridSpan w:val="4"/>
          </w:tcPr>
          <w:p w14:paraId="37CCD9E1" w14:textId="77777777" w:rsidR="000C7C0E" w:rsidRPr="006008A2" w:rsidRDefault="000C7C0E" w:rsidP="003E4C24">
            <w:r>
              <w:rPr>
                <w:b/>
                <w:bCs/>
              </w:rPr>
              <w:t xml:space="preserve">Proposed solution to the issue described: </w:t>
            </w:r>
          </w:p>
          <w:p w14:paraId="66350545" w14:textId="77777777" w:rsidR="0030446C" w:rsidRDefault="0030446C" w:rsidP="0030446C">
            <w:r w:rsidRPr="0030446C">
              <w:t>The calculation of monthly PRMs should be evaluated to determine whether they are achieving the intended goals and accurately modeling the mitigation of loss of load probability, while also achieving stability and mitigating volatility.  Monthly PRMs provide beneficial granularity and flexibility but have exhibited some concerning volatility month-to-month. Idaho Power has seen some shoulder season months with load + PRM total obligation significantly exceeding Idaho Power’s own extreme weather load forecasts as well as its own long-term planning load forecasts + Idaho Power’s PRMs.  Idaho Power is asking for a comprehensive effort to evaluate, review, and consider alternatives to the calculation of the monthly PRMs.</w:t>
            </w:r>
          </w:p>
          <w:p w14:paraId="06D3C781" w14:textId="77777777" w:rsidR="0030446C" w:rsidRDefault="0030446C" w:rsidP="0030446C"/>
          <w:p w14:paraId="48CF5365" w14:textId="0BCCE117" w:rsidR="000C7C0E" w:rsidRPr="00AB7637" w:rsidRDefault="0030446C" w:rsidP="003E4C24">
            <w:r w:rsidRPr="0030446C">
              <w:t>Idaho Power also supports the desire for stability that is reflected in change request 2024-CRF-002. </w:t>
            </w:r>
          </w:p>
        </w:tc>
      </w:tr>
      <w:tr w:rsidR="000C7C0E" w14:paraId="5F953B10" w14:textId="77777777" w:rsidTr="003E4C24">
        <w:tc>
          <w:tcPr>
            <w:tcW w:w="9350" w:type="dxa"/>
            <w:gridSpan w:val="4"/>
          </w:tcPr>
          <w:p w14:paraId="45697711" w14:textId="77777777" w:rsidR="000C7C0E" w:rsidRDefault="000C7C0E" w:rsidP="003E4C24">
            <w:pPr>
              <w:rPr>
                <w:b/>
                <w:bCs/>
              </w:rPr>
            </w:pPr>
            <w:r>
              <w:rPr>
                <w:b/>
                <w:bCs/>
              </w:rPr>
              <w:t>Specific document and language you would like changed:</w:t>
            </w:r>
          </w:p>
          <w:p w14:paraId="7A09A894" w14:textId="75555366" w:rsidR="000C7C0E" w:rsidRPr="003E595A" w:rsidRDefault="0030446C" w:rsidP="003E4C24">
            <w:r>
              <w:t>-</w:t>
            </w:r>
          </w:p>
        </w:tc>
      </w:tr>
      <w:tr w:rsidR="000C7C0E" w14:paraId="3034C146" w14:textId="77777777" w:rsidTr="003E4C24">
        <w:tc>
          <w:tcPr>
            <w:tcW w:w="9350" w:type="dxa"/>
            <w:gridSpan w:val="4"/>
          </w:tcPr>
          <w:p w14:paraId="7B07B40B" w14:textId="77777777" w:rsidR="000C7C0E" w:rsidRDefault="000C7C0E" w:rsidP="003E4C24">
            <w:pPr>
              <w:rPr>
                <w:b/>
                <w:bCs/>
              </w:rPr>
            </w:pPr>
            <w:r>
              <w:rPr>
                <w:b/>
                <w:bCs/>
              </w:rPr>
              <w:t xml:space="preserve">Suggestion for how language could be updated to address </w:t>
            </w:r>
            <w:proofErr w:type="gramStart"/>
            <w:r>
              <w:rPr>
                <w:b/>
                <w:bCs/>
              </w:rPr>
              <w:t>issue</w:t>
            </w:r>
            <w:proofErr w:type="gramEnd"/>
            <w:r>
              <w:rPr>
                <w:b/>
                <w:bCs/>
              </w:rPr>
              <w:t>:</w:t>
            </w:r>
          </w:p>
          <w:p w14:paraId="71930507" w14:textId="656D62B1" w:rsidR="000C7C0E" w:rsidRPr="004A50B4" w:rsidRDefault="0030446C" w:rsidP="003E4C24">
            <w:r>
              <w:t>-</w:t>
            </w:r>
          </w:p>
        </w:tc>
      </w:tr>
      <w:tr w:rsidR="000C7C0E" w14:paraId="55DF2552" w14:textId="77777777" w:rsidTr="003E4C24">
        <w:tc>
          <w:tcPr>
            <w:tcW w:w="9350" w:type="dxa"/>
            <w:gridSpan w:val="4"/>
          </w:tcPr>
          <w:p w14:paraId="72E76B46" w14:textId="77777777" w:rsidR="000C7C0E" w:rsidRDefault="000C7C0E" w:rsidP="003E4C24">
            <w:r>
              <w:rPr>
                <w:b/>
                <w:bCs/>
              </w:rPr>
              <w:t>Describe the benefits that will be realized from this change:</w:t>
            </w:r>
          </w:p>
          <w:p w14:paraId="330B5C42" w14:textId="30701D35" w:rsidR="000C7C0E" w:rsidRPr="00A5483E" w:rsidRDefault="0030446C" w:rsidP="003E4C24">
            <w:r>
              <w:t>-</w:t>
            </w:r>
          </w:p>
        </w:tc>
      </w:tr>
      <w:tr w:rsidR="000C7C0E" w14:paraId="59948897" w14:textId="77777777" w:rsidTr="003E4C24">
        <w:tc>
          <w:tcPr>
            <w:tcW w:w="9350" w:type="dxa"/>
            <w:gridSpan w:val="4"/>
          </w:tcPr>
          <w:p w14:paraId="6CA7905B" w14:textId="77777777" w:rsidR="000C7C0E" w:rsidRDefault="000C7C0E" w:rsidP="003E4C24">
            <w:pPr>
              <w:rPr>
                <w:b/>
                <w:bCs/>
              </w:rPr>
            </w:pPr>
            <w:r>
              <w:rPr>
                <w:b/>
                <w:bCs/>
              </w:rPr>
              <w:t>Any data/information that would characterize the importance of the issue:</w:t>
            </w:r>
          </w:p>
          <w:p w14:paraId="7359DD87" w14:textId="581D4C39" w:rsidR="000C7C0E" w:rsidRPr="00324C95" w:rsidRDefault="0030446C" w:rsidP="003E4C24">
            <w:r>
              <w:t>-</w:t>
            </w:r>
          </w:p>
        </w:tc>
      </w:tr>
    </w:tbl>
    <w:p w14:paraId="141896FA" w14:textId="77777777" w:rsidR="00340CDD" w:rsidRDefault="00340CDD">
      <w:pPr>
        <w:rPr>
          <w:rFonts w:eastAsiaTheme="majorEastAsia"/>
        </w:rPr>
      </w:pPr>
      <w:r>
        <w:rPr>
          <w:rFonts w:eastAsiaTheme="majorEastAsia"/>
        </w:rPr>
        <w:br w:type="page"/>
      </w:r>
    </w:p>
    <w:tbl>
      <w:tblPr>
        <w:tblStyle w:val="TableGrid"/>
        <w:tblW w:w="0" w:type="auto"/>
        <w:tblLook w:val="04A0" w:firstRow="1" w:lastRow="0" w:firstColumn="1" w:lastColumn="0" w:noHBand="0" w:noVBand="1"/>
      </w:tblPr>
      <w:tblGrid>
        <w:gridCol w:w="3415"/>
        <w:gridCol w:w="1260"/>
        <w:gridCol w:w="1558"/>
        <w:gridCol w:w="3117"/>
      </w:tblGrid>
      <w:tr w:rsidR="00340CDD" w14:paraId="49E65742" w14:textId="77777777" w:rsidTr="003E4C24">
        <w:tc>
          <w:tcPr>
            <w:tcW w:w="9350" w:type="dxa"/>
            <w:gridSpan w:val="4"/>
          </w:tcPr>
          <w:p w14:paraId="0E64BE54" w14:textId="68F40D9E" w:rsidR="00340CDD" w:rsidRPr="00722AF6" w:rsidRDefault="00340CDD" w:rsidP="003E4C24">
            <w:pPr>
              <w:pStyle w:val="Heading1"/>
              <w:rPr>
                <w:sz w:val="36"/>
                <w:szCs w:val="36"/>
              </w:rPr>
            </w:pPr>
            <w:bookmarkStart w:id="57" w:name="_Toc189746905"/>
            <w:bookmarkStart w:id="58" w:name="_Toc189840331"/>
            <w:r w:rsidRPr="00900E3F">
              <w:rPr>
                <w:sz w:val="32"/>
                <w:szCs w:val="32"/>
              </w:rPr>
              <w:lastRenderedPageBreak/>
              <w:t>2024-CRF-0</w:t>
            </w:r>
            <w:r w:rsidR="0030446C" w:rsidRPr="00900E3F">
              <w:rPr>
                <w:sz w:val="32"/>
                <w:szCs w:val="32"/>
              </w:rPr>
              <w:t>18</w:t>
            </w:r>
            <w:r w:rsidRPr="00900E3F">
              <w:rPr>
                <w:sz w:val="32"/>
                <w:szCs w:val="32"/>
              </w:rPr>
              <w:t xml:space="preserve"> / </w:t>
            </w:r>
            <w:r w:rsidR="00294963" w:rsidRPr="00900E3F">
              <w:rPr>
                <w:sz w:val="32"/>
                <w:szCs w:val="32"/>
              </w:rPr>
              <w:t>BPA</w:t>
            </w:r>
            <w:r w:rsidRPr="00900E3F">
              <w:rPr>
                <w:sz w:val="32"/>
                <w:szCs w:val="32"/>
              </w:rPr>
              <w:t xml:space="preserve"> / </w:t>
            </w:r>
            <w:r w:rsidR="003948B7" w:rsidRPr="00900E3F">
              <w:rPr>
                <w:sz w:val="32"/>
                <w:szCs w:val="32"/>
              </w:rPr>
              <w:t xml:space="preserve">PRM </w:t>
            </w:r>
            <w:r w:rsidR="00722AF6" w:rsidRPr="00900E3F">
              <w:rPr>
                <w:sz w:val="32"/>
                <w:szCs w:val="32"/>
              </w:rPr>
              <w:t xml:space="preserve">out of </w:t>
            </w:r>
            <w:r w:rsidR="00900E3F" w:rsidRPr="00900E3F">
              <w:rPr>
                <w:sz w:val="32"/>
                <w:szCs w:val="32"/>
              </w:rPr>
              <w:t xml:space="preserve">FS </w:t>
            </w:r>
            <w:r w:rsidR="00722AF6" w:rsidRPr="00900E3F">
              <w:rPr>
                <w:sz w:val="32"/>
                <w:szCs w:val="32"/>
              </w:rPr>
              <w:t>Transmission Requirement</w:t>
            </w:r>
            <w:bookmarkEnd w:id="57"/>
            <w:bookmarkEnd w:id="58"/>
            <w:r w:rsidR="00722AF6" w:rsidRPr="00900E3F">
              <w:rPr>
                <w:sz w:val="32"/>
                <w:szCs w:val="32"/>
              </w:rPr>
              <w:t xml:space="preserve"> </w:t>
            </w:r>
          </w:p>
        </w:tc>
      </w:tr>
      <w:tr w:rsidR="00340CDD" w14:paraId="1A7784A8" w14:textId="77777777" w:rsidTr="00E67164">
        <w:tc>
          <w:tcPr>
            <w:tcW w:w="3415" w:type="dxa"/>
          </w:tcPr>
          <w:p w14:paraId="24AE6867" w14:textId="77777777" w:rsidR="00340CDD" w:rsidRPr="00FD78B3" w:rsidRDefault="00340CDD" w:rsidP="003E4C24">
            <w:pPr>
              <w:rPr>
                <w:b/>
                <w:bCs/>
                <w:color w:val="153D63" w:themeColor="text2" w:themeTint="E6"/>
              </w:rPr>
            </w:pPr>
            <w:r w:rsidRPr="00FD78B3">
              <w:rPr>
                <w:b/>
                <w:bCs/>
                <w:color w:val="153D63" w:themeColor="text2" w:themeTint="E6"/>
              </w:rPr>
              <w:t xml:space="preserve">WRAP Area: </w:t>
            </w:r>
          </w:p>
          <w:p w14:paraId="51E800B2" w14:textId="1AFFEF50" w:rsidR="00340CDD" w:rsidRPr="00FD78B3" w:rsidRDefault="00E67164" w:rsidP="003E4C24">
            <w:pPr>
              <w:rPr>
                <w:color w:val="153D63" w:themeColor="text2" w:themeTint="E6"/>
              </w:rPr>
            </w:pPr>
            <w:r>
              <w:rPr>
                <w:color w:val="153D63" w:themeColor="text2" w:themeTint="E6"/>
              </w:rPr>
              <w:t>FS Transmission Requirement</w:t>
            </w:r>
          </w:p>
        </w:tc>
        <w:tc>
          <w:tcPr>
            <w:tcW w:w="2818" w:type="dxa"/>
            <w:gridSpan w:val="2"/>
          </w:tcPr>
          <w:p w14:paraId="4C6F9F3B" w14:textId="54A5E20B" w:rsidR="00340CDD" w:rsidRDefault="00C1275B" w:rsidP="003E4C24">
            <w:pPr>
              <w:rPr>
                <w:color w:val="153D63" w:themeColor="text2" w:themeTint="E6"/>
              </w:rPr>
            </w:pPr>
            <w:r>
              <w:rPr>
                <w:b/>
                <w:bCs/>
                <w:color w:val="153D63" w:themeColor="text2" w:themeTint="E6"/>
              </w:rPr>
              <w:t>Tariff</w:t>
            </w:r>
            <w:r w:rsidR="00340CDD" w:rsidRPr="004E4785">
              <w:rPr>
                <w:b/>
                <w:bCs/>
                <w:color w:val="153D63" w:themeColor="text2" w:themeTint="E6"/>
              </w:rPr>
              <w:t xml:space="preserve"> Change</w:t>
            </w:r>
            <w:r w:rsidR="00340CDD" w:rsidRPr="00FD78B3">
              <w:rPr>
                <w:color w:val="153D63" w:themeColor="text2" w:themeTint="E6"/>
              </w:rPr>
              <w:t>:</w:t>
            </w:r>
            <w:r w:rsidR="00340CDD">
              <w:rPr>
                <w:color w:val="153D63" w:themeColor="text2" w:themeTint="E6"/>
              </w:rPr>
              <w:t xml:space="preserve"> </w:t>
            </w:r>
          </w:p>
          <w:p w14:paraId="713C69DB" w14:textId="1913AC38" w:rsidR="00340CDD" w:rsidRPr="00FD78B3" w:rsidRDefault="00294963" w:rsidP="003E4C24">
            <w:pPr>
              <w:rPr>
                <w:color w:val="153D63" w:themeColor="text2" w:themeTint="E6"/>
              </w:rPr>
            </w:pPr>
            <w:r>
              <w:rPr>
                <w:color w:val="153D63" w:themeColor="text2" w:themeTint="E6"/>
              </w:rPr>
              <w:t>Yes</w:t>
            </w:r>
          </w:p>
        </w:tc>
        <w:tc>
          <w:tcPr>
            <w:tcW w:w="3117" w:type="dxa"/>
          </w:tcPr>
          <w:p w14:paraId="35B5E514" w14:textId="77777777" w:rsidR="00340CDD" w:rsidRDefault="00340CDD" w:rsidP="003E4C24">
            <w:pPr>
              <w:rPr>
                <w:b/>
                <w:bCs/>
                <w:color w:val="153D63" w:themeColor="text2" w:themeTint="E6"/>
              </w:rPr>
            </w:pPr>
            <w:r w:rsidRPr="004E4785">
              <w:rPr>
                <w:b/>
                <w:bCs/>
                <w:color w:val="153D63" w:themeColor="text2" w:themeTint="E6"/>
              </w:rPr>
              <w:t>Time Score:</w:t>
            </w:r>
          </w:p>
          <w:p w14:paraId="1E22071C" w14:textId="091F5792" w:rsidR="00340CDD" w:rsidRPr="004E4785" w:rsidRDefault="00294963" w:rsidP="003E4C24">
            <w:pPr>
              <w:rPr>
                <w:color w:val="153D63" w:themeColor="text2" w:themeTint="E6"/>
              </w:rPr>
            </w:pPr>
            <w:r>
              <w:rPr>
                <w:color w:val="153D63" w:themeColor="text2" w:themeTint="E6"/>
              </w:rPr>
              <w:t>Medium</w:t>
            </w:r>
          </w:p>
        </w:tc>
      </w:tr>
      <w:tr w:rsidR="00340CDD" w14:paraId="2BAAAFBF" w14:textId="77777777" w:rsidTr="003E4C24">
        <w:tc>
          <w:tcPr>
            <w:tcW w:w="4675" w:type="dxa"/>
            <w:gridSpan w:val="2"/>
          </w:tcPr>
          <w:p w14:paraId="7628DF72" w14:textId="1883FFE5" w:rsidR="00340CDD" w:rsidRDefault="00340CDD" w:rsidP="003E4C24">
            <w:r w:rsidRPr="00016218">
              <w:rPr>
                <w:b/>
                <w:bCs/>
              </w:rPr>
              <w:t>Lead Sponsor</w:t>
            </w:r>
            <w:r>
              <w:t xml:space="preserve">: </w:t>
            </w:r>
            <w:r w:rsidR="00101F6C">
              <w:t>Steve Bellcoff</w:t>
            </w:r>
          </w:p>
          <w:p w14:paraId="1910FE05" w14:textId="11CF0E55" w:rsidR="00340CDD" w:rsidRDefault="00101F6C" w:rsidP="003E4C24">
            <w:r>
              <w:t>srbellcoff@bpa.gov</w:t>
            </w:r>
          </w:p>
        </w:tc>
        <w:tc>
          <w:tcPr>
            <w:tcW w:w="4675" w:type="dxa"/>
            <w:gridSpan w:val="2"/>
          </w:tcPr>
          <w:p w14:paraId="3BEDC4FB" w14:textId="77777777" w:rsidR="00340CDD" w:rsidRPr="00651CDC" w:rsidRDefault="00340CDD" w:rsidP="003E4C24">
            <w:r>
              <w:rPr>
                <w:b/>
                <w:bCs/>
              </w:rPr>
              <w:t xml:space="preserve">Co-Sponsor: </w:t>
            </w:r>
          </w:p>
        </w:tc>
      </w:tr>
      <w:tr w:rsidR="00340CDD" w14:paraId="79E651B1" w14:textId="77777777" w:rsidTr="003E4C24">
        <w:tc>
          <w:tcPr>
            <w:tcW w:w="9350" w:type="dxa"/>
            <w:gridSpan w:val="4"/>
          </w:tcPr>
          <w:p w14:paraId="4E24EEB4" w14:textId="48B85D5C" w:rsidR="00340CDD" w:rsidRPr="00C329E4" w:rsidRDefault="00340CDD" w:rsidP="003E4C24">
            <w:r w:rsidRPr="00F64D69">
              <w:rPr>
                <w:b/>
                <w:bCs/>
              </w:rPr>
              <w:t>Summary</w:t>
            </w:r>
            <w:r>
              <w:t>:</w:t>
            </w:r>
            <w:r w:rsidR="00101F6C" w:rsidRPr="00101F6C">
              <w:rPr>
                <w:rFonts w:ascii="ProximaNova-Regular" w:hAnsi="ProximaNova-Regular"/>
                <w:color w:val="212529"/>
                <w:sz w:val="21"/>
                <w:szCs w:val="21"/>
                <w:shd w:val="clear" w:color="auto" w:fill="D3D3D3"/>
              </w:rPr>
              <w:t xml:space="preserve"> </w:t>
            </w:r>
            <w:r w:rsidR="00101F6C" w:rsidRPr="00101F6C">
              <w:t>Remove PRM from Forward Showing 75% Firm Transmission Requirement</w:t>
            </w:r>
            <w:r>
              <w:t xml:space="preserve"> </w:t>
            </w:r>
          </w:p>
        </w:tc>
      </w:tr>
      <w:tr w:rsidR="00340CDD" w14:paraId="06CE58EC" w14:textId="77777777" w:rsidTr="003E4C24">
        <w:tc>
          <w:tcPr>
            <w:tcW w:w="9350" w:type="dxa"/>
            <w:gridSpan w:val="4"/>
          </w:tcPr>
          <w:p w14:paraId="6E56394D" w14:textId="77777777" w:rsidR="009C4CC6" w:rsidRDefault="00340CDD" w:rsidP="00915938">
            <w:pPr>
              <w:rPr>
                <w:b/>
                <w:bCs/>
              </w:rPr>
            </w:pPr>
            <w:r>
              <w:rPr>
                <w:b/>
                <w:bCs/>
              </w:rPr>
              <w:t>Description of the issue:</w:t>
            </w:r>
          </w:p>
          <w:p w14:paraId="03B1AFE6" w14:textId="5F30CDDB" w:rsidR="00915938" w:rsidRPr="00915938" w:rsidRDefault="00915938" w:rsidP="00915938">
            <w:pPr>
              <w:rPr>
                <w:b/>
                <w:bCs/>
              </w:rPr>
            </w:pPr>
            <w:r w:rsidRPr="00915938">
              <w:t xml:space="preserve">WRAP </w:t>
            </w:r>
            <w:proofErr w:type="gramStart"/>
            <w:r w:rsidRPr="00915938">
              <w:t>Tariff  (</w:t>
            </w:r>
            <w:proofErr w:type="gramEnd"/>
            <w:r w:rsidRPr="00915938">
              <w:t>16.3) requires FS workbook demonstration of firm transmission from source to sink for 75% of the capacity used to serve P50 load +PRM.    Demonstration of firm transmission for 25% of the capacity used to serve P50 loads + PRM is not required. </w:t>
            </w:r>
          </w:p>
          <w:p w14:paraId="7139B2B0" w14:textId="77777777" w:rsidR="00915938" w:rsidRDefault="00915938" w:rsidP="00915938"/>
          <w:p w14:paraId="52B5CFCA" w14:textId="1FF0BAC4" w:rsidR="00915938" w:rsidRPr="00915938" w:rsidRDefault="00915938" w:rsidP="00915938">
            <w:r w:rsidRPr="00915938">
              <w:t>When PRMs approach or exceed 25% (March for example) it is possible to completely consume the 25% non-firm transmission buffer with PRM capacity.   </w:t>
            </w:r>
          </w:p>
          <w:p w14:paraId="1BECA91F" w14:textId="77777777" w:rsidR="00915938" w:rsidRDefault="00915938" w:rsidP="00915938"/>
          <w:p w14:paraId="23F14BEE" w14:textId="4D8900B3" w:rsidR="00915938" w:rsidRPr="00915938" w:rsidRDefault="00915938" w:rsidP="00915938">
            <w:r w:rsidRPr="00915938">
              <w:t>Consuming the 25% buffer with PRM capacity leaves participants with a requirement to demonstrate that 100% of capacity shown to serve P50 load is accompanied by source to sink firm transmission 7 months in advance of flow. </w:t>
            </w:r>
            <w:proofErr w:type="gramStart"/>
            <w:r w:rsidRPr="00915938">
              <w:t>Intent</w:t>
            </w:r>
            <w:proofErr w:type="gramEnd"/>
            <w:r w:rsidRPr="00915938">
              <w:t xml:space="preserve"> of the 75% transmission requirement was to recognize that at the Forward Showing time frame a participant may not have acquired 100% of the firm transmission needed to serve P50 peak load.    </w:t>
            </w:r>
          </w:p>
          <w:p w14:paraId="44297EA5" w14:textId="77777777" w:rsidR="00915938" w:rsidRDefault="00915938" w:rsidP="003E4C24"/>
          <w:p w14:paraId="13D8FF7F" w14:textId="6120D8C9" w:rsidR="00915938" w:rsidRPr="006008A2" w:rsidRDefault="00915938" w:rsidP="003E4C24">
            <w:r w:rsidRPr="00915938">
              <w:t>Requiring firm transmission 7 months in advance for 100% of P50 peak load is problematic for many loads served by contracts (sourced from a system they qualify as WRAP capacity).</w:t>
            </w:r>
            <w:r w:rsidRPr="00915938">
              <w:rPr>
                <w:b/>
                <w:bCs/>
              </w:rPr>
              <w:t>   </w:t>
            </w:r>
          </w:p>
        </w:tc>
      </w:tr>
      <w:tr w:rsidR="00340CDD" w14:paraId="0EDEED42" w14:textId="77777777" w:rsidTr="003E4C24">
        <w:tc>
          <w:tcPr>
            <w:tcW w:w="9350" w:type="dxa"/>
            <w:gridSpan w:val="4"/>
          </w:tcPr>
          <w:p w14:paraId="35360889" w14:textId="77777777" w:rsidR="00340CDD" w:rsidRPr="006008A2" w:rsidRDefault="00340CDD" w:rsidP="003E4C24">
            <w:r>
              <w:rPr>
                <w:b/>
                <w:bCs/>
              </w:rPr>
              <w:t xml:space="preserve">Proposed solution to the issue described: </w:t>
            </w:r>
          </w:p>
          <w:p w14:paraId="74F24F73" w14:textId="1EE1BA21" w:rsidR="00340CDD" w:rsidRPr="00915938" w:rsidRDefault="00915938" w:rsidP="003E4C24">
            <w:r w:rsidRPr="00915938">
              <w:t>Remove PRM from the Forward Showing Firm Transmission requirement calculation.    </w:t>
            </w:r>
          </w:p>
        </w:tc>
      </w:tr>
      <w:tr w:rsidR="00340CDD" w14:paraId="3C41C9D7" w14:textId="77777777" w:rsidTr="003E4C24">
        <w:tc>
          <w:tcPr>
            <w:tcW w:w="9350" w:type="dxa"/>
            <w:gridSpan w:val="4"/>
          </w:tcPr>
          <w:p w14:paraId="1940C7D5" w14:textId="77777777" w:rsidR="00340CDD" w:rsidRDefault="00340CDD" w:rsidP="003E4C24">
            <w:pPr>
              <w:rPr>
                <w:b/>
                <w:bCs/>
              </w:rPr>
            </w:pPr>
            <w:r>
              <w:rPr>
                <w:b/>
                <w:bCs/>
              </w:rPr>
              <w:t>Specific document and language you would like changed:</w:t>
            </w:r>
          </w:p>
          <w:p w14:paraId="653EFB76" w14:textId="4B339DE5" w:rsidR="00340CDD" w:rsidRPr="00D5682A" w:rsidRDefault="00D5682A" w:rsidP="003E4C24">
            <w:r w:rsidRPr="00D5682A">
              <w:t>Tariff section 16.3, FS Capacity Requirement</w:t>
            </w:r>
            <w:proofErr w:type="gramStart"/>
            <w:r w:rsidRPr="00D5682A">
              <w:t>:  Exclude</w:t>
            </w:r>
            <w:proofErr w:type="gramEnd"/>
            <w:r w:rsidRPr="00D5682A">
              <w:t xml:space="preserve"> PRM from 75% firm source to sink requirement.</w:t>
            </w:r>
          </w:p>
        </w:tc>
      </w:tr>
      <w:tr w:rsidR="00340CDD" w14:paraId="5F4E0B34" w14:textId="77777777" w:rsidTr="003E4C24">
        <w:tc>
          <w:tcPr>
            <w:tcW w:w="9350" w:type="dxa"/>
            <w:gridSpan w:val="4"/>
          </w:tcPr>
          <w:p w14:paraId="42E90D21" w14:textId="77777777" w:rsidR="00340CDD" w:rsidRDefault="00340CDD" w:rsidP="003E4C24">
            <w:pPr>
              <w:rPr>
                <w:b/>
                <w:bCs/>
              </w:rPr>
            </w:pPr>
            <w:r>
              <w:rPr>
                <w:b/>
                <w:bCs/>
              </w:rPr>
              <w:t xml:space="preserve">Suggestion for how language could be updated to address </w:t>
            </w:r>
            <w:proofErr w:type="gramStart"/>
            <w:r>
              <w:rPr>
                <w:b/>
                <w:bCs/>
              </w:rPr>
              <w:t>issue</w:t>
            </w:r>
            <w:proofErr w:type="gramEnd"/>
            <w:r>
              <w:rPr>
                <w:b/>
                <w:bCs/>
              </w:rPr>
              <w:t>:</w:t>
            </w:r>
          </w:p>
          <w:p w14:paraId="01A98488" w14:textId="18CBA929" w:rsidR="00340CDD" w:rsidRPr="004A50B4" w:rsidRDefault="00D5682A" w:rsidP="003E4C24">
            <w:r>
              <w:t>-</w:t>
            </w:r>
          </w:p>
        </w:tc>
      </w:tr>
      <w:tr w:rsidR="00340CDD" w14:paraId="7BDF7A83" w14:textId="77777777" w:rsidTr="003E4C24">
        <w:tc>
          <w:tcPr>
            <w:tcW w:w="9350" w:type="dxa"/>
            <w:gridSpan w:val="4"/>
          </w:tcPr>
          <w:p w14:paraId="5010B3C4" w14:textId="77777777" w:rsidR="00340CDD" w:rsidRDefault="00340CDD" w:rsidP="003E4C24">
            <w:r>
              <w:rPr>
                <w:b/>
                <w:bCs/>
              </w:rPr>
              <w:t>Describe the benefits that will be realized from this change:</w:t>
            </w:r>
          </w:p>
          <w:p w14:paraId="2BCD3E65" w14:textId="52507924" w:rsidR="00340CDD" w:rsidRPr="00D5682A" w:rsidRDefault="00D5682A" w:rsidP="003E4C24">
            <w:r w:rsidRPr="00D5682A">
              <w:t xml:space="preserve">This change would recognize that Firm Transmission is a finite resource and that requiring firm transmission for the PRM causes purchase and holding of that limited transmission capability that is not readily available. Filing for exclusions on transmission requires constant monitoring and submittal to the program which causes an administrative burden.  Participants are still responsible for sharing in the Operations period, as a result the program already included the mechanism to incentives participants to be responsible </w:t>
            </w:r>
            <w:proofErr w:type="gramStart"/>
            <w:r w:rsidRPr="00D5682A">
              <w:t>in</w:t>
            </w:r>
            <w:proofErr w:type="gramEnd"/>
            <w:r w:rsidRPr="00D5682A">
              <w:t xml:space="preserve"> acquiring the required transmission to serve load and sharing ability.</w:t>
            </w:r>
          </w:p>
        </w:tc>
      </w:tr>
      <w:tr w:rsidR="00340CDD" w14:paraId="74BA626E" w14:textId="77777777" w:rsidTr="003E4C24">
        <w:tc>
          <w:tcPr>
            <w:tcW w:w="9350" w:type="dxa"/>
            <w:gridSpan w:val="4"/>
          </w:tcPr>
          <w:p w14:paraId="0FBA2F6F" w14:textId="2BBCDF0E" w:rsidR="00340CDD" w:rsidRPr="009C4CC6" w:rsidRDefault="00340CDD" w:rsidP="003E4C24">
            <w:pPr>
              <w:rPr>
                <w:b/>
                <w:bCs/>
              </w:rPr>
            </w:pPr>
            <w:r>
              <w:rPr>
                <w:b/>
                <w:bCs/>
              </w:rPr>
              <w:t>Any data/information that would characterize the importance of the issue:</w:t>
            </w:r>
            <w:r w:rsidR="009C4CC6">
              <w:rPr>
                <w:b/>
                <w:bCs/>
              </w:rPr>
              <w:t xml:space="preserve"> -</w:t>
            </w:r>
          </w:p>
        </w:tc>
      </w:tr>
    </w:tbl>
    <w:p w14:paraId="098A8B37" w14:textId="77777777" w:rsidR="0030446C" w:rsidRDefault="0030446C">
      <w:pPr>
        <w:rPr>
          <w:rFonts w:eastAsiaTheme="majorEastAsia"/>
        </w:rPr>
      </w:pPr>
      <w:r>
        <w:rPr>
          <w:rFonts w:eastAsiaTheme="majorEastAsia"/>
        </w:rPr>
        <w:br w:type="page"/>
      </w:r>
    </w:p>
    <w:tbl>
      <w:tblPr>
        <w:tblStyle w:val="TableGrid"/>
        <w:tblW w:w="0" w:type="auto"/>
        <w:tblLook w:val="04A0" w:firstRow="1" w:lastRow="0" w:firstColumn="1" w:lastColumn="0" w:noHBand="0" w:noVBand="1"/>
      </w:tblPr>
      <w:tblGrid>
        <w:gridCol w:w="3116"/>
        <w:gridCol w:w="1559"/>
        <w:gridCol w:w="1558"/>
        <w:gridCol w:w="3117"/>
      </w:tblGrid>
      <w:tr w:rsidR="0030446C" w14:paraId="0A8F770A" w14:textId="77777777" w:rsidTr="003E4C24">
        <w:tc>
          <w:tcPr>
            <w:tcW w:w="9350" w:type="dxa"/>
            <w:gridSpan w:val="4"/>
          </w:tcPr>
          <w:p w14:paraId="230B7B8C" w14:textId="1FB9F4DB" w:rsidR="0030446C" w:rsidRDefault="0030446C" w:rsidP="003E4C24">
            <w:pPr>
              <w:pStyle w:val="Heading1"/>
            </w:pPr>
            <w:bookmarkStart w:id="59" w:name="_Toc189746906"/>
            <w:bookmarkStart w:id="60" w:name="_Toc189840332"/>
            <w:r>
              <w:lastRenderedPageBreak/>
              <w:t>2024-CRF-0</w:t>
            </w:r>
            <w:r w:rsidR="00E51127">
              <w:t>1</w:t>
            </w:r>
            <w:r w:rsidR="00553AC6">
              <w:t>9</w:t>
            </w:r>
            <w:r>
              <w:t xml:space="preserve"> / </w:t>
            </w:r>
            <w:r w:rsidR="00042227">
              <w:t>IPC</w:t>
            </w:r>
            <w:r>
              <w:t xml:space="preserve"> / </w:t>
            </w:r>
            <w:r w:rsidR="00553AC6">
              <w:t>Resource Aggregation</w:t>
            </w:r>
            <w:bookmarkEnd w:id="59"/>
            <w:bookmarkEnd w:id="60"/>
          </w:p>
        </w:tc>
      </w:tr>
      <w:tr w:rsidR="0030446C" w14:paraId="550DE3DE" w14:textId="77777777" w:rsidTr="003E4C24">
        <w:tc>
          <w:tcPr>
            <w:tcW w:w="3116" w:type="dxa"/>
          </w:tcPr>
          <w:p w14:paraId="3CD6718E" w14:textId="77777777" w:rsidR="0030446C" w:rsidRPr="00FD78B3" w:rsidRDefault="0030446C" w:rsidP="003E4C24">
            <w:pPr>
              <w:rPr>
                <w:b/>
                <w:bCs/>
                <w:color w:val="153D63" w:themeColor="text2" w:themeTint="E6"/>
              </w:rPr>
            </w:pPr>
            <w:r w:rsidRPr="00FD78B3">
              <w:rPr>
                <w:b/>
                <w:bCs/>
                <w:color w:val="153D63" w:themeColor="text2" w:themeTint="E6"/>
              </w:rPr>
              <w:t xml:space="preserve">WRAP Area: </w:t>
            </w:r>
          </w:p>
          <w:p w14:paraId="09CF33E6" w14:textId="69CC5F98" w:rsidR="0030446C" w:rsidRPr="00FD78B3" w:rsidRDefault="00E67164" w:rsidP="003E4C24">
            <w:pPr>
              <w:rPr>
                <w:color w:val="153D63" w:themeColor="text2" w:themeTint="E6"/>
              </w:rPr>
            </w:pPr>
            <w:r>
              <w:rPr>
                <w:color w:val="153D63" w:themeColor="text2" w:themeTint="E6"/>
              </w:rPr>
              <w:t>FS Demonstration</w:t>
            </w:r>
          </w:p>
        </w:tc>
        <w:tc>
          <w:tcPr>
            <w:tcW w:w="3117" w:type="dxa"/>
            <w:gridSpan w:val="2"/>
          </w:tcPr>
          <w:p w14:paraId="6D06B3D4" w14:textId="219481BA" w:rsidR="0030446C" w:rsidRDefault="00C1275B" w:rsidP="003E4C24">
            <w:pPr>
              <w:rPr>
                <w:color w:val="153D63" w:themeColor="text2" w:themeTint="E6"/>
              </w:rPr>
            </w:pPr>
            <w:r>
              <w:rPr>
                <w:b/>
                <w:bCs/>
                <w:color w:val="153D63" w:themeColor="text2" w:themeTint="E6"/>
              </w:rPr>
              <w:t>Tariff</w:t>
            </w:r>
            <w:r w:rsidR="0030446C" w:rsidRPr="004E4785">
              <w:rPr>
                <w:b/>
                <w:bCs/>
                <w:color w:val="153D63" w:themeColor="text2" w:themeTint="E6"/>
              </w:rPr>
              <w:t xml:space="preserve"> Change</w:t>
            </w:r>
            <w:r w:rsidR="0030446C" w:rsidRPr="00FD78B3">
              <w:rPr>
                <w:color w:val="153D63" w:themeColor="text2" w:themeTint="E6"/>
              </w:rPr>
              <w:t>:</w:t>
            </w:r>
            <w:r w:rsidR="0030446C">
              <w:rPr>
                <w:color w:val="153D63" w:themeColor="text2" w:themeTint="E6"/>
              </w:rPr>
              <w:t xml:space="preserve"> </w:t>
            </w:r>
          </w:p>
          <w:p w14:paraId="352DAB7A" w14:textId="4EAA7963" w:rsidR="0030446C" w:rsidRPr="00FD78B3" w:rsidRDefault="003F28B9" w:rsidP="003E4C24">
            <w:pPr>
              <w:rPr>
                <w:color w:val="153D63" w:themeColor="text2" w:themeTint="E6"/>
              </w:rPr>
            </w:pPr>
            <w:r>
              <w:rPr>
                <w:color w:val="153D63" w:themeColor="text2" w:themeTint="E6"/>
              </w:rPr>
              <w:t>No</w:t>
            </w:r>
          </w:p>
        </w:tc>
        <w:tc>
          <w:tcPr>
            <w:tcW w:w="3117" w:type="dxa"/>
          </w:tcPr>
          <w:p w14:paraId="34182AAF" w14:textId="77777777" w:rsidR="0030446C" w:rsidRDefault="0030446C" w:rsidP="003E4C24">
            <w:pPr>
              <w:rPr>
                <w:b/>
                <w:bCs/>
                <w:color w:val="153D63" w:themeColor="text2" w:themeTint="E6"/>
              </w:rPr>
            </w:pPr>
            <w:r w:rsidRPr="004E4785">
              <w:rPr>
                <w:b/>
                <w:bCs/>
                <w:color w:val="153D63" w:themeColor="text2" w:themeTint="E6"/>
              </w:rPr>
              <w:t>Time Score:</w:t>
            </w:r>
          </w:p>
          <w:p w14:paraId="1E2A3A5E" w14:textId="506AC177" w:rsidR="0030446C" w:rsidRPr="004E4785" w:rsidRDefault="003F28B9" w:rsidP="003E4C24">
            <w:pPr>
              <w:rPr>
                <w:color w:val="153D63" w:themeColor="text2" w:themeTint="E6"/>
              </w:rPr>
            </w:pPr>
            <w:r>
              <w:rPr>
                <w:color w:val="153D63" w:themeColor="text2" w:themeTint="E6"/>
              </w:rPr>
              <w:t>Short</w:t>
            </w:r>
          </w:p>
        </w:tc>
      </w:tr>
      <w:tr w:rsidR="0030446C" w14:paraId="411E86EA" w14:textId="77777777" w:rsidTr="003E4C24">
        <w:tc>
          <w:tcPr>
            <w:tcW w:w="4675" w:type="dxa"/>
            <w:gridSpan w:val="2"/>
          </w:tcPr>
          <w:p w14:paraId="64FD2B1D" w14:textId="77777777" w:rsidR="0029677F" w:rsidRDefault="0030446C" w:rsidP="0029677F">
            <w:r w:rsidRPr="00016218">
              <w:rPr>
                <w:b/>
                <w:bCs/>
              </w:rPr>
              <w:t>Lead Sponsor</w:t>
            </w:r>
            <w:r>
              <w:t xml:space="preserve">: </w:t>
            </w:r>
            <w:r w:rsidR="0029677F">
              <w:t>Nicole Blackwell</w:t>
            </w:r>
          </w:p>
          <w:p w14:paraId="377C9D79" w14:textId="3CCDF55F" w:rsidR="0030446C" w:rsidRDefault="0029677F" w:rsidP="003E4C24">
            <w:r>
              <w:t>nblackwell@idahopower.com</w:t>
            </w:r>
          </w:p>
        </w:tc>
        <w:tc>
          <w:tcPr>
            <w:tcW w:w="4675" w:type="dxa"/>
            <w:gridSpan w:val="2"/>
          </w:tcPr>
          <w:p w14:paraId="42B1FC08" w14:textId="77777777" w:rsidR="0030446C" w:rsidRPr="00651CDC" w:rsidRDefault="0030446C" w:rsidP="003E4C24">
            <w:r>
              <w:rPr>
                <w:b/>
                <w:bCs/>
              </w:rPr>
              <w:t xml:space="preserve">Co-Sponsor: </w:t>
            </w:r>
          </w:p>
        </w:tc>
      </w:tr>
      <w:tr w:rsidR="0030446C" w14:paraId="39AA0BDD" w14:textId="77777777" w:rsidTr="003E4C24">
        <w:tc>
          <w:tcPr>
            <w:tcW w:w="9350" w:type="dxa"/>
            <w:gridSpan w:val="4"/>
          </w:tcPr>
          <w:p w14:paraId="4B2A87D6" w14:textId="1F2E6A7E" w:rsidR="0030446C" w:rsidRPr="00C329E4" w:rsidRDefault="0030446C" w:rsidP="003E4C24">
            <w:r w:rsidRPr="00F64D69">
              <w:rPr>
                <w:b/>
                <w:bCs/>
              </w:rPr>
              <w:t>Summary</w:t>
            </w:r>
            <w:r>
              <w:t xml:space="preserve">: </w:t>
            </w:r>
            <w:r w:rsidR="00CF3907">
              <w:t>Resource Aggregation</w:t>
            </w:r>
          </w:p>
        </w:tc>
      </w:tr>
      <w:tr w:rsidR="0030446C" w14:paraId="4F9BA1CF" w14:textId="77777777" w:rsidTr="003E4C24">
        <w:tc>
          <w:tcPr>
            <w:tcW w:w="9350" w:type="dxa"/>
            <w:gridSpan w:val="4"/>
          </w:tcPr>
          <w:p w14:paraId="639EE9F3" w14:textId="77777777" w:rsidR="00CF3907" w:rsidRDefault="0030446C" w:rsidP="003E4C24">
            <w:pPr>
              <w:rPr>
                <w:b/>
                <w:bCs/>
              </w:rPr>
            </w:pPr>
            <w:r>
              <w:rPr>
                <w:b/>
                <w:bCs/>
              </w:rPr>
              <w:t xml:space="preserve">Description of the issue: </w:t>
            </w:r>
          </w:p>
          <w:p w14:paraId="4B95DF12" w14:textId="2EDE5E4B" w:rsidR="0030446C" w:rsidRPr="006008A2" w:rsidRDefault="00CF3907" w:rsidP="003E4C24">
            <w:r w:rsidRPr="00CF3907">
              <w:t>Resource aggregation is currently limited to qualifying resources that are less than 1 MW. The cap on the size of individual resources eligible for aggregation should be increased, if not removed, if the aggregation criteria listed in BPM 105 is met. Idaho Power understands some additional criteria may be needed, or perhaps aggregation would be subject to review and approval by SPP/WPP. However, Idaho Power desires more flexibility regarding aggregation</w:t>
            </w:r>
            <w:r w:rsidRPr="00CF3907">
              <w:rPr>
                <w:b/>
                <w:bCs/>
              </w:rPr>
              <w:t xml:space="preserve">. </w:t>
            </w:r>
          </w:p>
        </w:tc>
      </w:tr>
      <w:tr w:rsidR="0030446C" w14:paraId="5082E260" w14:textId="77777777" w:rsidTr="003E4C24">
        <w:tc>
          <w:tcPr>
            <w:tcW w:w="9350" w:type="dxa"/>
            <w:gridSpan w:val="4"/>
          </w:tcPr>
          <w:p w14:paraId="209B6E19" w14:textId="77777777" w:rsidR="0030446C" w:rsidRPr="006008A2" w:rsidRDefault="0030446C" w:rsidP="003E4C24">
            <w:r>
              <w:rPr>
                <w:b/>
                <w:bCs/>
              </w:rPr>
              <w:t xml:space="preserve">Proposed solution to the issue described: </w:t>
            </w:r>
          </w:p>
          <w:p w14:paraId="05DB7E24" w14:textId="60C64B83" w:rsidR="0030446C" w:rsidRPr="00AB7637" w:rsidRDefault="00CF3907" w:rsidP="003E4C24">
            <w:r w:rsidRPr="00CF3907">
              <w:t>Remove or increase the limitation of 1 MW for resource aggregation. </w:t>
            </w:r>
          </w:p>
        </w:tc>
      </w:tr>
      <w:tr w:rsidR="0030446C" w14:paraId="65D87EB6" w14:textId="77777777" w:rsidTr="003E4C24">
        <w:tc>
          <w:tcPr>
            <w:tcW w:w="9350" w:type="dxa"/>
            <w:gridSpan w:val="4"/>
          </w:tcPr>
          <w:p w14:paraId="483358A9" w14:textId="77777777" w:rsidR="0030446C" w:rsidRDefault="0030446C" w:rsidP="003E4C24">
            <w:pPr>
              <w:rPr>
                <w:b/>
                <w:bCs/>
              </w:rPr>
            </w:pPr>
            <w:r>
              <w:rPr>
                <w:b/>
                <w:bCs/>
              </w:rPr>
              <w:t>Specific document and language you would like changed:</w:t>
            </w:r>
          </w:p>
          <w:p w14:paraId="27522494" w14:textId="77777777" w:rsidR="0030446C" w:rsidRDefault="004D3284" w:rsidP="003E4C24">
            <w:pPr>
              <w:rPr>
                <w:b/>
                <w:bCs/>
                <w:color w:val="153D63" w:themeColor="text2" w:themeTint="E6"/>
              </w:rPr>
            </w:pPr>
            <w:r w:rsidRPr="004D3284">
              <w:t>Section 3.3 of BPM 105</w:t>
            </w:r>
            <w:r w:rsidR="00CF581F">
              <w:t xml:space="preserve"> </w:t>
            </w:r>
            <w:r w:rsidR="009E1B9B" w:rsidRPr="009E1B9B">
              <w:rPr>
                <w:b/>
                <w:bCs/>
                <w:color w:val="153D63" w:themeColor="text2" w:themeTint="E6"/>
              </w:rPr>
              <w:t>Qualifying Resource Aggregation (Resources &lt;1 MW)</w:t>
            </w:r>
          </w:p>
          <w:p w14:paraId="40B12FAB" w14:textId="77777777" w:rsidR="004C5657" w:rsidRDefault="004C5657" w:rsidP="003E4C24">
            <w:pPr>
              <w:rPr>
                <w:color w:val="153D63" w:themeColor="text2" w:themeTint="E6"/>
              </w:rPr>
            </w:pPr>
            <w:r w:rsidRPr="004C5657">
              <w:rPr>
                <w:color w:val="153D63" w:themeColor="text2" w:themeTint="E6"/>
              </w:rPr>
              <w:t xml:space="preserve">Qualifying Resources that are less than 1 MW in size may be aggregated to obtain the minimum 1 MW registration requirement. </w:t>
            </w:r>
          </w:p>
          <w:p w14:paraId="5B655A5B" w14:textId="77777777" w:rsidR="004C5657" w:rsidRDefault="004C5657" w:rsidP="003E4C24">
            <w:pPr>
              <w:rPr>
                <w:color w:val="153D63" w:themeColor="text2" w:themeTint="E6"/>
              </w:rPr>
            </w:pPr>
          </w:p>
          <w:p w14:paraId="1EFC9690" w14:textId="77777777" w:rsidR="004C5657" w:rsidRDefault="004C5657" w:rsidP="003E4C24">
            <w:pPr>
              <w:rPr>
                <w:color w:val="153D63" w:themeColor="text2" w:themeTint="E6"/>
              </w:rPr>
            </w:pPr>
            <w:r w:rsidRPr="004C5657">
              <w:rPr>
                <w:color w:val="153D63" w:themeColor="text2" w:themeTint="E6"/>
              </w:rPr>
              <w:t>Qualifying Resources that are aggregated will need to have a common injection point of capacity to the transmission system. Aggregations of generators at different distribution substations may be allowed provided the generators are in the same BAA, same zone (as applicable by resource type), and are the same resource type.</w:t>
            </w:r>
          </w:p>
          <w:p w14:paraId="4AC4D3AD" w14:textId="77777777" w:rsidR="004C5657" w:rsidRDefault="004C5657" w:rsidP="003E4C24">
            <w:pPr>
              <w:rPr>
                <w:color w:val="153D63" w:themeColor="text2" w:themeTint="E6"/>
              </w:rPr>
            </w:pPr>
          </w:p>
          <w:p w14:paraId="2DB7CAAB" w14:textId="77777777" w:rsidR="004C5657" w:rsidRDefault="004C5657" w:rsidP="003E4C24">
            <w:pPr>
              <w:rPr>
                <w:color w:val="153D63" w:themeColor="text2" w:themeTint="E6"/>
              </w:rPr>
            </w:pPr>
            <w:r w:rsidRPr="004C5657">
              <w:rPr>
                <w:color w:val="153D63" w:themeColor="text2" w:themeTint="E6"/>
              </w:rPr>
              <w:t xml:space="preserve"> For Qualifying Resources that are requested to be aggregated, the following information should be provided to the Program Operator.</w:t>
            </w:r>
          </w:p>
          <w:p w14:paraId="767221FD" w14:textId="77777777" w:rsidR="004C5657" w:rsidRDefault="004C5657" w:rsidP="004C5657">
            <w:pPr>
              <w:ind w:left="720"/>
              <w:rPr>
                <w:color w:val="153D63" w:themeColor="text2" w:themeTint="E6"/>
              </w:rPr>
            </w:pPr>
            <w:r w:rsidRPr="004C5657">
              <w:rPr>
                <w:color w:val="153D63" w:themeColor="text2" w:themeTint="E6"/>
              </w:rPr>
              <w:t xml:space="preserve"> • For the aggregated facility: </w:t>
            </w:r>
          </w:p>
          <w:p w14:paraId="6B6A9F1C" w14:textId="77777777" w:rsidR="004C5657" w:rsidRDefault="004C5657" w:rsidP="004C5657">
            <w:pPr>
              <w:ind w:left="1440"/>
              <w:rPr>
                <w:color w:val="153D63" w:themeColor="text2" w:themeTint="E6"/>
              </w:rPr>
            </w:pPr>
            <w:r w:rsidRPr="004C5657">
              <w:rPr>
                <w:color w:val="153D63" w:themeColor="text2" w:themeTint="E6"/>
              </w:rPr>
              <w:t xml:space="preserve">o Quantity of generators being aggregated. </w:t>
            </w:r>
          </w:p>
          <w:p w14:paraId="290C01CC" w14:textId="77777777" w:rsidR="004C5657" w:rsidRDefault="004C5657" w:rsidP="004C5657">
            <w:pPr>
              <w:ind w:left="1440"/>
              <w:rPr>
                <w:color w:val="153D63" w:themeColor="text2" w:themeTint="E6"/>
              </w:rPr>
            </w:pPr>
            <w:proofErr w:type="gramStart"/>
            <w:r w:rsidRPr="004C5657">
              <w:rPr>
                <w:color w:val="153D63" w:themeColor="text2" w:themeTint="E6"/>
              </w:rPr>
              <w:t>o Combined nameplate</w:t>
            </w:r>
            <w:proofErr w:type="gramEnd"/>
            <w:r w:rsidRPr="004C5657">
              <w:rPr>
                <w:color w:val="153D63" w:themeColor="text2" w:themeTint="E6"/>
              </w:rPr>
              <w:t xml:space="preserve"> of generators being aggregated. </w:t>
            </w:r>
          </w:p>
          <w:p w14:paraId="41EBE4FC" w14:textId="77777777" w:rsidR="004C5657" w:rsidRDefault="004C5657" w:rsidP="004C5657">
            <w:pPr>
              <w:ind w:left="1440"/>
              <w:rPr>
                <w:color w:val="153D63" w:themeColor="text2" w:themeTint="E6"/>
              </w:rPr>
            </w:pPr>
            <w:r w:rsidRPr="004C5657">
              <w:rPr>
                <w:color w:val="153D63" w:themeColor="text2" w:themeTint="E6"/>
              </w:rPr>
              <w:t xml:space="preserve">o One-line diagram of the transmission/distribution system at which the generators are located. </w:t>
            </w:r>
          </w:p>
          <w:p w14:paraId="04767EBA" w14:textId="77777777" w:rsidR="004C5657" w:rsidRDefault="004C5657" w:rsidP="004C5657">
            <w:pPr>
              <w:ind w:left="720"/>
              <w:rPr>
                <w:color w:val="153D63" w:themeColor="text2" w:themeTint="E6"/>
              </w:rPr>
            </w:pPr>
            <w:r w:rsidRPr="004C5657">
              <w:rPr>
                <w:color w:val="153D63" w:themeColor="text2" w:themeTint="E6"/>
              </w:rPr>
              <w:t xml:space="preserve">• For each generator being aggregated: </w:t>
            </w:r>
          </w:p>
          <w:p w14:paraId="7EC95AB7" w14:textId="77777777" w:rsidR="004C5657" w:rsidRDefault="004C5657" w:rsidP="004C5657">
            <w:pPr>
              <w:ind w:left="1440"/>
              <w:rPr>
                <w:color w:val="153D63" w:themeColor="text2" w:themeTint="E6"/>
              </w:rPr>
            </w:pPr>
            <w:r w:rsidRPr="004C5657">
              <w:rPr>
                <w:color w:val="153D63" w:themeColor="text2" w:themeTint="E6"/>
              </w:rPr>
              <w:t xml:space="preserve">o Nameplate. </w:t>
            </w:r>
          </w:p>
          <w:p w14:paraId="51373F07" w14:textId="77777777" w:rsidR="004C5657" w:rsidRDefault="004C5657" w:rsidP="004C5657">
            <w:pPr>
              <w:ind w:left="1440"/>
              <w:rPr>
                <w:color w:val="153D63" w:themeColor="text2" w:themeTint="E6"/>
              </w:rPr>
            </w:pPr>
            <w:proofErr w:type="gramStart"/>
            <w:r w:rsidRPr="004C5657">
              <w:rPr>
                <w:color w:val="153D63" w:themeColor="text2" w:themeTint="E6"/>
              </w:rPr>
              <w:t>o Location</w:t>
            </w:r>
            <w:proofErr w:type="gramEnd"/>
            <w:r w:rsidRPr="004C5657">
              <w:rPr>
                <w:color w:val="153D63" w:themeColor="text2" w:themeTint="E6"/>
              </w:rPr>
              <w:t xml:space="preserve"> of power injection to the transmission system (substation). </w:t>
            </w:r>
          </w:p>
          <w:p w14:paraId="1162C16B" w14:textId="77777777" w:rsidR="004C5657" w:rsidRDefault="004C5657" w:rsidP="004C5657">
            <w:pPr>
              <w:ind w:left="1440"/>
              <w:rPr>
                <w:color w:val="153D63" w:themeColor="text2" w:themeTint="E6"/>
              </w:rPr>
            </w:pPr>
            <w:proofErr w:type="gramStart"/>
            <w:r w:rsidRPr="004C5657">
              <w:rPr>
                <w:color w:val="153D63" w:themeColor="text2" w:themeTint="E6"/>
              </w:rPr>
              <w:t>o Supporting</w:t>
            </w:r>
            <w:proofErr w:type="gramEnd"/>
            <w:r w:rsidRPr="004C5657">
              <w:rPr>
                <w:color w:val="153D63" w:themeColor="text2" w:themeTint="E6"/>
              </w:rPr>
              <w:t xml:space="preserve"> information for QCC evaluation. </w:t>
            </w:r>
          </w:p>
          <w:p w14:paraId="489E044D" w14:textId="77777777" w:rsidR="004C5657" w:rsidRDefault="004C5657" w:rsidP="004C5657">
            <w:pPr>
              <w:rPr>
                <w:color w:val="153D63" w:themeColor="text2" w:themeTint="E6"/>
              </w:rPr>
            </w:pPr>
          </w:p>
          <w:p w14:paraId="74DD38C9" w14:textId="14A2E7A9" w:rsidR="009E1B9B" w:rsidRPr="004C5657" w:rsidRDefault="004C5657" w:rsidP="004C5657">
            <w:r w:rsidRPr="004C5657">
              <w:rPr>
                <w:color w:val="153D63" w:themeColor="text2" w:themeTint="E6"/>
              </w:rPr>
              <w:t>This information will be provided to the Program Operator in a form that will be provided with the Advance Assessment Data Request workbook on the WPP website.</w:t>
            </w:r>
          </w:p>
        </w:tc>
      </w:tr>
      <w:tr w:rsidR="0030446C" w14:paraId="189CD5E2" w14:textId="77777777" w:rsidTr="003E4C24">
        <w:tc>
          <w:tcPr>
            <w:tcW w:w="9350" w:type="dxa"/>
            <w:gridSpan w:val="4"/>
          </w:tcPr>
          <w:p w14:paraId="3D820A86" w14:textId="77777777" w:rsidR="0030446C" w:rsidRDefault="0030446C" w:rsidP="003E4C24">
            <w:pPr>
              <w:rPr>
                <w:b/>
                <w:bCs/>
              </w:rPr>
            </w:pPr>
            <w:r>
              <w:rPr>
                <w:b/>
                <w:bCs/>
              </w:rPr>
              <w:t xml:space="preserve">Suggestion for how language could be updated to address </w:t>
            </w:r>
            <w:proofErr w:type="gramStart"/>
            <w:r>
              <w:rPr>
                <w:b/>
                <w:bCs/>
              </w:rPr>
              <w:t>issue</w:t>
            </w:r>
            <w:proofErr w:type="gramEnd"/>
            <w:r>
              <w:rPr>
                <w:b/>
                <w:bCs/>
              </w:rPr>
              <w:t>:</w:t>
            </w:r>
          </w:p>
          <w:p w14:paraId="40DA7A91" w14:textId="2B91A9AD" w:rsidR="0030446C" w:rsidRPr="004A50B4" w:rsidRDefault="004D3284" w:rsidP="003E4C24">
            <w:r w:rsidRPr="004D3284">
              <w:t>Remove or increase the limitation of 1 MW for resource aggregation. </w:t>
            </w:r>
          </w:p>
        </w:tc>
      </w:tr>
      <w:tr w:rsidR="0030446C" w14:paraId="37F34F2A" w14:textId="77777777" w:rsidTr="003E4C24">
        <w:tc>
          <w:tcPr>
            <w:tcW w:w="9350" w:type="dxa"/>
            <w:gridSpan w:val="4"/>
          </w:tcPr>
          <w:p w14:paraId="53C60456" w14:textId="77777777" w:rsidR="0030446C" w:rsidRDefault="0030446C" w:rsidP="003E4C24">
            <w:r>
              <w:rPr>
                <w:b/>
                <w:bCs/>
              </w:rPr>
              <w:lastRenderedPageBreak/>
              <w:t>Describe the benefits that will be realized from this change:</w:t>
            </w:r>
          </w:p>
          <w:p w14:paraId="6EA12AC9" w14:textId="3702D477" w:rsidR="0030446C" w:rsidRPr="00A5483E" w:rsidRDefault="004D3284" w:rsidP="003E4C24">
            <w:r w:rsidRPr="004D3284">
              <w:t xml:space="preserve">Creates ease and consistency in reporting. Idaho Power has a few sets of projects with common POIs and ownership that are aggregated under single CAISO resource IDs for EIM participation and the data for these sets of projects is available on a aggregated basis. It seems reasonable that this would be sufficient for </w:t>
            </w:r>
            <w:proofErr w:type="gramStart"/>
            <w:r w:rsidRPr="004D3284">
              <w:t>WRAP, and</w:t>
            </w:r>
            <w:proofErr w:type="gramEnd"/>
            <w:r w:rsidRPr="004D3284">
              <w:t xml:space="preserve"> would allow Idaho Power to leverage existing data and create consistency. </w:t>
            </w:r>
          </w:p>
        </w:tc>
      </w:tr>
      <w:tr w:rsidR="0030446C" w14:paraId="2192FCA1" w14:textId="77777777" w:rsidTr="003E4C24">
        <w:tc>
          <w:tcPr>
            <w:tcW w:w="9350" w:type="dxa"/>
            <w:gridSpan w:val="4"/>
          </w:tcPr>
          <w:p w14:paraId="0C30D8B3" w14:textId="77777777" w:rsidR="0030446C" w:rsidRDefault="0030446C" w:rsidP="003E4C24">
            <w:pPr>
              <w:rPr>
                <w:b/>
                <w:bCs/>
              </w:rPr>
            </w:pPr>
            <w:r>
              <w:rPr>
                <w:b/>
                <w:bCs/>
              </w:rPr>
              <w:t>Any data/information that would characterize the importance of the issue:</w:t>
            </w:r>
          </w:p>
          <w:p w14:paraId="48F607B8" w14:textId="7BAB3937" w:rsidR="0030446C" w:rsidRPr="00324C95" w:rsidRDefault="004D3284" w:rsidP="003E4C24">
            <w:r>
              <w:t>-</w:t>
            </w:r>
          </w:p>
        </w:tc>
      </w:tr>
    </w:tbl>
    <w:p w14:paraId="376361D4" w14:textId="1401E24F" w:rsidR="00DA6084" w:rsidRDefault="009C4CC6">
      <w:pPr>
        <w:rPr>
          <w:rFonts w:eastAsiaTheme="majorEastAsia"/>
        </w:rPr>
      </w:pPr>
      <w:r>
        <w:rPr>
          <w:rFonts w:eastAsiaTheme="majorEastAsia"/>
        </w:rPr>
        <w:br w:type="page"/>
      </w:r>
    </w:p>
    <w:tbl>
      <w:tblPr>
        <w:tblStyle w:val="TableGrid"/>
        <w:tblW w:w="0" w:type="auto"/>
        <w:tblLook w:val="04A0" w:firstRow="1" w:lastRow="0" w:firstColumn="1" w:lastColumn="0" w:noHBand="0" w:noVBand="1"/>
      </w:tblPr>
      <w:tblGrid>
        <w:gridCol w:w="3116"/>
        <w:gridCol w:w="1559"/>
        <w:gridCol w:w="1558"/>
        <w:gridCol w:w="3117"/>
      </w:tblGrid>
      <w:tr w:rsidR="00DA6084" w14:paraId="50DD9BDF" w14:textId="77777777" w:rsidTr="003E4C24">
        <w:tc>
          <w:tcPr>
            <w:tcW w:w="9350" w:type="dxa"/>
            <w:gridSpan w:val="4"/>
          </w:tcPr>
          <w:p w14:paraId="7AACC3B9" w14:textId="1DC7EE65" w:rsidR="00DA6084" w:rsidRDefault="00DA6084" w:rsidP="003E4C24">
            <w:pPr>
              <w:pStyle w:val="Heading1"/>
            </w:pPr>
            <w:bookmarkStart w:id="61" w:name="_Toc189746907"/>
            <w:bookmarkStart w:id="62" w:name="_Toc189840333"/>
            <w:r>
              <w:lastRenderedPageBreak/>
              <w:t>2024-CRF-0</w:t>
            </w:r>
            <w:r w:rsidR="009900AB">
              <w:t>20</w:t>
            </w:r>
            <w:r>
              <w:t xml:space="preserve"> / </w:t>
            </w:r>
            <w:r w:rsidR="009900AB">
              <w:t>BPA</w:t>
            </w:r>
            <w:r w:rsidR="00840E43">
              <w:t xml:space="preserve"> </w:t>
            </w:r>
            <w:r>
              <w:t xml:space="preserve">/ </w:t>
            </w:r>
            <w:r w:rsidR="009900AB">
              <w:t>Forward Showing Waiver</w:t>
            </w:r>
            <w:bookmarkEnd w:id="61"/>
            <w:bookmarkEnd w:id="62"/>
          </w:p>
        </w:tc>
      </w:tr>
      <w:tr w:rsidR="00DA6084" w14:paraId="3D8BC641" w14:textId="77777777" w:rsidTr="003E4C24">
        <w:tc>
          <w:tcPr>
            <w:tcW w:w="3116" w:type="dxa"/>
          </w:tcPr>
          <w:p w14:paraId="60B1AA07" w14:textId="77777777" w:rsidR="00DA6084" w:rsidRPr="00FD78B3" w:rsidRDefault="00DA6084" w:rsidP="003E4C24">
            <w:pPr>
              <w:rPr>
                <w:b/>
                <w:bCs/>
                <w:color w:val="153D63" w:themeColor="text2" w:themeTint="E6"/>
              </w:rPr>
            </w:pPr>
            <w:r w:rsidRPr="00FD78B3">
              <w:rPr>
                <w:b/>
                <w:bCs/>
                <w:color w:val="153D63" w:themeColor="text2" w:themeTint="E6"/>
              </w:rPr>
              <w:t xml:space="preserve">WRAP Area: </w:t>
            </w:r>
          </w:p>
          <w:p w14:paraId="1AD4BD97" w14:textId="7DD1BC4B" w:rsidR="00DA6084" w:rsidRPr="00FD78B3" w:rsidRDefault="00F43883" w:rsidP="003E4C24">
            <w:pPr>
              <w:rPr>
                <w:color w:val="153D63" w:themeColor="text2" w:themeTint="E6"/>
              </w:rPr>
            </w:pPr>
            <w:r>
              <w:rPr>
                <w:color w:val="153D63" w:themeColor="text2" w:themeTint="E6"/>
              </w:rPr>
              <w:t>FS Demonstration</w:t>
            </w:r>
          </w:p>
        </w:tc>
        <w:tc>
          <w:tcPr>
            <w:tcW w:w="3117" w:type="dxa"/>
            <w:gridSpan w:val="2"/>
          </w:tcPr>
          <w:p w14:paraId="6E7A04AC" w14:textId="42A19DEC" w:rsidR="00DA6084" w:rsidRDefault="00C1275B" w:rsidP="003E4C24">
            <w:pPr>
              <w:rPr>
                <w:color w:val="153D63" w:themeColor="text2" w:themeTint="E6"/>
              </w:rPr>
            </w:pPr>
            <w:r>
              <w:rPr>
                <w:b/>
                <w:bCs/>
                <w:color w:val="153D63" w:themeColor="text2" w:themeTint="E6"/>
              </w:rPr>
              <w:t>Tariff</w:t>
            </w:r>
            <w:r w:rsidR="00DA6084" w:rsidRPr="004E4785">
              <w:rPr>
                <w:b/>
                <w:bCs/>
                <w:color w:val="153D63" w:themeColor="text2" w:themeTint="E6"/>
              </w:rPr>
              <w:t xml:space="preserve"> Change</w:t>
            </w:r>
            <w:r w:rsidR="00DA6084" w:rsidRPr="00FD78B3">
              <w:rPr>
                <w:color w:val="153D63" w:themeColor="text2" w:themeTint="E6"/>
              </w:rPr>
              <w:t>:</w:t>
            </w:r>
            <w:r w:rsidR="00DA6084">
              <w:rPr>
                <w:color w:val="153D63" w:themeColor="text2" w:themeTint="E6"/>
              </w:rPr>
              <w:t xml:space="preserve"> </w:t>
            </w:r>
          </w:p>
          <w:p w14:paraId="5A122AE0" w14:textId="365D6FFE" w:rsidR="00DA6084" w:rsidRPr="00FD78B3" w:rsidRDefault="00885F48" w:rsidP="003E4C24">
            <w:pPr>
              <w:rPr>
                <w:color w:val="153D63" w:themeColor="text2" w:themeTint="E6"/>
              </w:rPr>
            </w:pPr>
            <w:r>
              <w:rPr>
                <w:color w:val="153D63" w:themeColor="text2" w:themeTint="E6"/>
              </w:rPr>
              <w:t>Yes</w:t>
            </w:r>
          </w:p>
        </w:tc>
        <w:tc>
          <w:tcPr>
            <w:tcW w:w="3117" w:type="dxa"/>
          </w:tcPr>
          <w:p w14:paraId="0603BEE7" w14:textId="77777777" w:rsidR="00DA6084" w:rsidRDefault="00DA6084" w:rsidP="003E4C24">
            <w:pPr>
              <w:rPr>
                <w:b/>
                <w:bCs/>
                <w:color w:val="153D63" w:themeColor="text2" w:themeTint="E6"/>
              </w:rPr>
            </w:pPr>
            <w:r w:rsidRPr="004E4785">
              <w:rPr>
                <w:b/>
                <w:bCs/>
                <w:color w:val="153D63" w:themeColor="text2" w:themeTint="E6"/>
              </w:rPr>
              <w:t>Time Score:</w:t>
            </w:r>
          </w:p>
          <w:p w14:paraId="58BF4A21" w14:textId="6192DED8" w:rsidR="00DA6084" w:rsidRPr="004E4785" w:rsidRDefault="00885F48" w:rsidP="003E4C24">
            <w:pPr>
              <w:rPr>
                <w:color w:val="153D63" w:themeColor="text2" w:themeTint="E6"/>
              </w:rPr>
            </w:pPr>
            <w:r>
              <w:rPr>
                <w:color w:val="153D63" w:themeColor="text2" w:themeTint="E6"/>
              </w:rPr>
              <w:t>Long</w:t>
            </w:r>
          </w:p>
        </w:tc>
      </w:tr>
      <w:tr w:rsidR="00DA6084" w14:paraId="079FC713" w14:textId="77777777" w:rsidTr="003E4C24">
        <w:tc>
          <w:tcPr>
            <w:tcW w:w="4675" w:type="dxa"/>
            <w:gridSpan w:val="2"/>
          </w:tcPr>
          <w:p w14:paraId="36418587" w14:textId="3159EAC5" w:rsidR="00DA6084" w:rsidRDefault="00DA6084" w:rsidP="003E4C24">
            <w:r w:rsidRPr="00016218">
              <w:rPr>
                <w:b/>
                <w:bCs/>
              </w:rPr>
              <w:t>Lead Sponsor</w:t>
            </w:r>
            <w:r>
              <w:t xml:space="preserve">: </w:t>
            </w:r>
            <w:r w:rsidR="00DE6A8F">
              <w:t>Steve Bellcoff</w:t>
            </w:r>
          </w:p>
          <w:p w14:paraId="0AAC64B0" w14:textId="7C2338AA" w:rsidR="00DA6084" w:rsidRDefault="00DE6A8F" w:rsidP="003E4C24">
            <w:r>
              <w:t>srbellcoff@bpa.gov</w:t>
            </w:r>
          </w:p>
        </w:tc>
        <w:tc>
          <w:tcPr>
            <w:tcW w:w="4675" w:type="dxa"/>
            <w:gridSpan w:val="2"/>
          </w:tcPr>
          <w:p w14:paraId="129F62D9" w14:textId="77777777" w:rsidR="00DA6084" w:rsidRPr="00651CDC" w:rsidRDefault="00DA6084" w:rsidP="003E4C24">
            <w:r>
              <w:rPr>
                <w:b/>
                <w:bCs/>
              </w:rPr>
              <w:t xml:space="preserve">Co-Sponsor: </w:t>
            </w:r>
          </w:p>
        </w:tc>
      </w:tr>
      <w:tr w:rsidR="00DA6084" w14:paraId="2743F44E" w14:textId="77777777" w:rsidTr="003E4C24">
        <w:tc>
          <w:tcPr>
            <w:tcW w:w="9350" w:type="dxa"/>
            <w:gridSpan w:val="4"/>
          </w:tcPr>
          <w:p w14:paraId="17A4C5C6" w14:textId="42E076A5" w:rsidR="00DA6084" w:rsidRPr="00C329E4" w:rsidRDefault="00DA6084" w:rsidP="003E4C24">
            <w:r w:rsidRPr="00F64D69">
              <w:rPr>
                <w:b/>
                <w:bCs/>
              </w:rPr>
              <w:t>Summary</w:t>
            </w:r>
            <w:r>
              <w:t xml:space="preserve">: </w:t>
            </w:r>
            <w:r w:rsidR="00A45D44" w:rsidRPr="00A45D44">
              <w:t>Waiver for Forward Showing capacity lost/delay</w:t>
            </w:r>
          </w:p>
        </w:tc>
      </w:tr>
      <w:tr w:rsidR="00DA6084" w14:paraId="1E8E98D9" w14:textId="77777777" w:rsidTr="003E4C24">
        <w:tc>
          <w:tcPr>
            <w:tcW w:w="9350" w:type="dxa"/>
            <w:gridSpan w:val="4"/>
          </w:tcPr>
          <w:p w14:paraId="6F8B268B" w14:textId="77777777" w:rsidR="00DA6084" w:rsidRDefault="00DA6084" w:rsidP="003E4C24">
            <w:pPr>
              <w:rPr>
                <w:b/>
                <w:bCs/>
              </w:rPr>
            </w:pPr>
            <w:r>
              <w:rPr>
                <w:b/>
                <w:bCs/>
              </w:rPr>
              <w:t xml:space="preserve">Description of the issue: </w:t>
            </w:r>
          </w:p>
          <w:p w14:paraId="750010BA" w14:textId="48529DFA" w:rsidR="00A45D44" w:rsidRPr="006008A2" w:rsidRDefault="00A45D44" w:rsidP="003E4C24">
            <w:r w:rsidRPr="00DE6A8F">
              <w:t xml:space="preserve">Section 16.2.4 of the Tariff currently only allows participants to seek waivers of FS capacity requirements if capacity </w:t>
            </w:r>
            <w:proofErr w:type="gramStart"/>
            <w:r w:rsidRPr="00DE6A8F">
              <w:t>lost</w:t>
            </w:r>
            <w:proofErr w:type="gramEnd"/>
            <w:r w:rsidRPr="00DE6A8F">
              <w:t xml:space="preserve"> b/c of catastrophic failure due to Force Majeure.  The inability to show sufficient specified source capacity at FS deadline could occur due to no fault of the participant and for credible reasons – aside from Force Majeure.  Not having a waiver beyond Force Majeure is an issue other events such as but are not limited </w:t>
            </w:r>
            <w:proofErr w:type="gramStart"/>
            <w:r w:rsidRPr="00DE6A8F">
              <w:t>to:</w:t>
            </w:r>
            <w:proofErr w:type="gramEnd"/>
            <w:r w:rsidRPr="00DE6A8F">
              <w:t xml:space="preserve">  supply chain constraints, lawsuits, developer failure to perform, appearance of loads not previously forecasted, unable to obtain sellers signature on JCAF, are all true legitimate reasons additional space is needed for a waiver</w:t>
            </w:r>
          </w:p>
        </w:tc>
      </w:tr>
      <w:tr w:rsidR="00DA6084" w14:paraId="0D89E651" w14:textId="77777777" w:rsidTr="003E4C24">
        <w:tc>
          <w:tcPr>
            <w:tcW w:w="9350" w:type="dxa"/>
            <w:gridSpan w:val="4"/>
          </w:tcPr>
          <w:p w14:paraId="5F8A7840" w14:textId="77777777" w:rsidR="00DA6084" w:rsidRPr="006008A2" w:rsidRDefault="00DA6084" w:rsidP="003E4C24">
            <w:r>
              <w:rPr>
                <w:b/>
                <w:bCs/>
              </w:rPr>
              <w:t xml:space="preserve">Proposed solution to the issue described: </w:t>
            </w:r>
          </w:p>
          <w:p w14:paraId="5E340AA9" w14:textId="7CA78452" w:rsidR="00DA6084" w:rsidRPr="00AB7637" w:rsidRDefault="00A45D44" w:rsidP="003E4C24">
            <w:r w:rsidRPr="00A45D44">
              <w:t>Provide opportunity to seek waivers from FS Capacity requirements for legitimate reasons beyond Force Majeure.   </w:t>
            </w:r>
          </w:p>
        </w:tc>
      </w:tr>
      <w:tr w:rsidR="00DA6084" w14:paraId="5A09A64C" w14:textId="77777777" w:rsidTr="003E4C24">
        <w:tc>
          <w:tcPr>
            <w:tcW w:w="9350" w:type="dxa"/>
            <w:gridSpan w:val="4"/>
          </w:tcPr>
          <w:p w14:paraId="7E555AA2" w14:textId="77777777" w:rsidR="00DA6084" w:rsidRDefault="00DA6084" w:rsidP="003E4C24">
            <w:pPr>
              <w:rPr>
                <w:b/>
                <w:bCs/>
              </w:rPr>
            </w:pPr>
            <w:r>
              <w:rPr>
                <w:b/>
                <w:bCs/>
              </w:rPr>
              <w:t>Specific document and language you would like changed:</w:t>
            </w:r>
          </w:p>
          <w:p w14:paraId="117CE6CE" w14:textId="77777777" w:rsidR="00DA6084" w:rsidRDefault="00B843E5" w:rsidP="003E4C24">
            <w:r w:rsidRPr="00B843E5">
              <w:t>Additional waiver language in 16.2.4. </w:t>
            </w:r>
          </w:p>
          <w:p w14:paraId="2B82F54F" w14:textId="1F5A15BB" w:rsidR="0077382E" w:rsidRPr="003E595A" w:rsidRDefault="0077382E" w:rsidP="003E4C24">
            <w:r w:rsidRPr="0077382E">
              <w:rPr>
                <w:color w:val="153D63" w:themeColor="text2" w:themeTint="E6"/>
              </w:rPr>
              <w:t>A Participant may include in its Forward Showing Submittal a request for an exception from its FS Capacity Requirement for an insufficiency of its Portfolio QCC solely due to (</w:t>
            </w:r>
            <w:proofErr w:type="spellStart"/>
            <w:r w:rsidRPr="0077382E">
              <w:rPr>
                <w:color w:val="153D63" w:themeColor="text2" w:themeTint="E6"/>
              </w:rPr>
              <w:t>i</w:t>
            </w:r>
            <w:proofErr w:type="spellEnd"/>
            <w:r w:rsidRPr="0077382E">
              <w:rPr>
                <w:color w:val="153D63" w:themeColor="text2" w:themeTint="E6"/>
              </w:rPr>
              <w:t xml:space="preserve">) a catastrophic failure of one or more Qualifying Resources due to an event of Force Majeure as defined by Section 8.1 of this Tariff that (ii) the Participant is unable to replace on commercially reasonable terms prior to the FS Deadline as a result of the timing and magnitude of such catastrophic failure and its consequences. As more fully set forth in the Business Practice Manuals, such exception request shall be supported by a Senior Official Attestation. The exception request must include complete information on </w:t>
            </w:r>
            <w:proofErr w:type="gramStart"/>
            <w:r w:rsidRPr="0077382E">
              <w:rPr>
                <w:color w:val="153D63" w:themeColor="text2" w:themeTint="E6"/>
              </w:rPr>
              <w:t>the nature</w:t>
            </w:r>
            <w:proofErr w:type="gramEnd"/>
            <w:r w:rsidRPr="0077382E">
              <w:rPr>
                <w:color w:val="153D63" w:themeColor="text2" w:themeTint="E6"/>
              </w:rPr>
              <w:t xml:space="preserve">, causes and consequences of the catastrophic failure, and must describe the Participant’s specific, concrete efforts prior to the FS Deadline to secure replacement Qualifying Resources for the applicable Binding Season. WPP will consider the exception criteria established by this section, the information provided in the exception request, the completeness of the exception request, and other relevant data and information, in determining whether to grant or deny an FS Capacity Requirement exception request. WPP shall provide such determination no later than sixty days after submission of such Participant’s FS Submittal containing such FS Capacity Requirement exception request. A Participant granted an exception hereunder must complete a monthly exception check report demonstrating that either the circumstances necessitating the exception have not changed; or that Qualifying Resources have become available, and the Participant has acquired them and no longer requires the exception. Failure </w:t>
            </w:r>
            <w:proofErr w:type="gramStart"/>
            <w:r w:rsidRPr="0077382E">
              <w:rPr>
                <w:color w:val="153D63" w:themeColor="text2" w:themeTint="E6"/>
              </w:rPr>
              <w:t>to timely</w:t>
            </w:r>
            <w:proofErr w:type="gramEnd"/>
            <w:r w:rsidRPr="0077382E">
              <w:rPr>
                <w:color w:val="153D63" w:themeColor="text2" w:themeTint="E6"/>
              </w:rPr>
              <w:t xml:space="preserve"> submit a required monthly report will result in </w:t>
            </w:r>
            <w:r w:rsidRPr="0077382E">
              <w:rPr>
                <w:color w:val="153D63" w:themeColor="text2" w:themeTint="E6"/>
              </w:rPr>
              <w:lastRenderedPageBreak/>
              <w:t xml:space="preserve">assessment of a Deficiency Charge, unless the deficiency is cured within seven days of notice of non-compliance. A Participant denied an exception request hereunder may appeal such denial to the Board of Directors in accordance with the procedures and deadlines set forth in the Business Practice Manuals. In such </w:t>
            </w:r>
            <w:proofErr w:type="gramStart"/>
            <w:r w:rsidRPr="0077382E">
              <w:rPr>
                <w:color w:val="153D63" w:themeColor="text2" w:themeTint="E6"/>
              </w:rPr>
              <w:t>event</w:t>
            </w:r>
            <w:proofErr w:type="gramEnd"/>
            <w:r w:rsidRPr="0077382E">
              <w:rPr>
                <w:color w:val="153D63" w:themeColor="text2" w:themeTint="E6"/>
              </w:rPr>
              <w:t>, the requested exception shall be denied or permitted as, when and to the extent permitted by the Board, in accordance with the procedures and timing set forth in the Business Practice Manuals. WPP shall give notice of any exception granted hereunder in the time and manner provided by the Business Practice Manuals.</w:t>
            </w:r>
          </w:p>
        </w:tc>
      </w:tr>
      <w:tr w:rsidR="00DA6084" w14:paraId="091884E2" w14:textId="77777777" w:rsidTr="003E4C24">
        <w:tc>
          <w:tcPr>
            <w:tcW w:w="9350" w:type="dxa"/>
            <w:gridSpan w:val="4"/>
          </w:tcPr>
          <w:p w14:paraId="3F3DA034" w14:textId="77777777" w:rsidR="00DA6084" w:rsidRDefault="00DA6084" w:rsidP="003E4C24">
            <w:pPr>
              <w:rPr>
                <w:b/>
                <w:bCs/>
              </w:rPr>
            </w:pPr>
            <w:r>
              <w:rPr>
                <w:b/>
                <w:bCs/>
              </w:rPr>
              <w:lastRenderedPageBreak/>
              <w:t xml:space="preserve">Suggestion for how language could be updated to address </w:t>
            </w:r>
            <w:proofErr w:type="gramStart"/>
            <w:r>
              <w:rPr>
                <w:b/>
                <w:bCs/>
              </w:rPr>
              <w:t>issue</w:t>
            </w:r>
            <w:proofErr w:type="gramEnd"/>
            <w:r>
              <w:rPr>
                <w:b/>
                <w:bCs/>
              </w:rPr>
              <w:t>:</w:t>
            </w:r>
          </w:p>
          <w:p w14:paraId="3A37C8A0" w14:textId="655E7D32" w:rsidR="00DA6084" w:rsidRPr="004A50B4" w:rsidRDefault="0077382E" w:rsidP="003E4C24">
            <w:r>
              <w:t>-</w:t>
            </w:r>
          </w:p>
        </w:tc>
      </w:tr>
      <w:tr w:rsidR="00DA6084" w14:paraId="6D8EE78D" w14:textId="77777777" w:rsidTr="003E4C24">
        <w:tc>
          <w:tcPr>
            <w:tcW w:w="9350" w:type="dxa"/>
            <w:gridSpan w:val="4"/>
          </w:tcPr>
          <w:p w14:paraId="0CAE9504" w14:textId="77777777" w:rsidR="00DA6084" w:rsidRDefault="00DA6084" w:rsidP="003E4C24">
            <w:r>
              <w:rPr>
                <w:b/>
                <w:bCs/>
              </w:rPr>
              <w:t>Describe the benefits that will be realized from this change:</w:t>
            </w:r>
          </w:p>
          <w:p w14:paraId="209775CC" w14:textId="470D6693" w:rsidR="00DA6084" w:rsidRPr="00A5483E" w:rsidRDefault="00BF729F" w:rsidP="003E4C24">
            <w:r w:rsidRPr="00BF729F">
              <w:t>Reduces the risk of failure to meet Forward Showing Capacity requirements, due to causes outside the control of a participant. Removes a risk factor for participation in program by having waiver ability when unexpected events happen outside of Force Majeure.</w:t>
            </w:r>
          </w:p>
        </w:tc>
      </w:tr>
      <w:tr w:rsidR="00DA6084" w14:paraId="65EDE57D" w14:textId="77777777" w:rsidTr="003E4C24">
        <w:tc>
          <w:tcPr>
            <w:tcW w:w="9350" w:type="dxa"/>
            <w:gridSpan w:val="4"/>
          </w:tcPr>
          <w:p w14:paraId="1E560143" w14:textId="77777777" w:rsidR="00DA6084" w:rsidRDefault="00DA6084" w:rsidP="003E4C24">
            <w:pPr>
              <w:rPr>
                <w:b/>
                <w:bCs/>
              </w:rPr>
            </w:pPr>
            <w:r>
              <w:rPr>
                <w:b/>
                <w:bCs/>
              </w:rPr>
              <w:t>Any data/information that would characterize the importance of the issue:</w:t>
            </w:r>
          </w:p>
          <w:p w14:paraId="647B36B0" w14:textId="1C1112A6" w:rsidR="00DA6084" w:rsidRPr="00324C95" w:rsidRDefault="00BF729F" w:rsidP="003E4C24">
            <w:r>
              <w:t>-</w:t>
            </w:r>
          </w:p>
        </w:tc>
      </w:tr>
    </w:tbl>
    <w:p w14:paraId="1DDCE319" w14:textId="77777777" w:rsidR="000B3DBE" w:rsidRDefault="000B3DBE">
      <w:pPr>
        <w:rPr>
          <w:rFonts w:eastAsiaTheme="majorEastAsia"/>
        </w:rPr>
      </w:pPr>
      <w:r>
        <w:rPr>
          <w:rFonts w:eastAsiaTheme="majorEastAsia"/>
        </w:rPr>
        <w:br w:type="page"/>
      </w:r>
    </w:p>
    <w:tbl>
      <w:tblPr>
        <w:tblStyle w:val="TableGrid"/>
        <w:tblW w:w="0" w:type="auto"/>
        <w:tblLook w:val="04A0" w:firstRow="1" w:lastRow="0" w:firstColumn="1" w:lastColumn="0" w:noHBand="0" w:noVBand="1"/>
      </w:tblPr>
      <w:tblGrid>
        <w:gridCol w:w="3116"/>
        <w:gridCol w:w="1559"/>
        <w:gridCol w:w="1558"/>
        <w:gridCol w:w="3117"/>
      </w:tblGrid>
      <w:tr w:rsidR="000B3DBE" w14:paraId="48F22C3C" w14:textId="77777777" w:rsidTr="003E4C24">
        <w:tc>
          <w:tcPr>
            <w:tcW w:w="9350" w:type="dxa"/>
            <w:gridSpan w:val="4"/>
          </w:tcPr>
          <w:p w14:paraId="3E010A3A" w14:textId="0C556671" w:rsidR="000B3DBE" w:rsidRDefault="000B3DBE" w:rsidP="003E4C24">
            <w:pPr>
              <w:pStyle w:val="Heading1"/>
            </w:pPr>
            <w:bookmarkStart w:id="63" w:name="_Toc189746908"/>
            <w:bookmarkStart w:id="64" w:name="_Toc189840334"/>
            <w:r>
              <w:lastRenderedPageBreak/>
              <w:t>2024-CRF-0</w:t>
            </w:r>
            <w:r w:rsidR="00BF729F">
              <w:t>21</w:t>
            </w:r>
            <w:r>
              <w:t xml:space="preserve"> / </w:t>
            </w:r>
            <w:r w:rsidR="00BF729F">
              <w:t>BPA</w:t>
            </w:r>
            <w:r>
              <w:t xml:space="preserve"> / </w:t>
            </w:r>
            <w:r w:rsidR="007F790B">
              <w:t>Delivery Failure Charge Cap</w:t>
            </w:r>
            <w:bookmarkEnd w:id="63"/>
            <w:bookmarkEnd w:id="64"/>
          </w:p>
        </w:tc>
      </w:tr>
      <w:tr w:rsidR="000B3DBE" w14:paraId="339CAF36" w14:textId="77777777" w:rsidTr="003E4C24">
        <w:tc>
          <w:tcPr>
            <w:tcW w:w="3116" w:type="dxa"/>
          </w:tcPr>
          <w:p w14:paraId="0D97D97C" w14:textId="77777777" w:rsidR="000B3DBE" w:rsidRPr="00FD78B3" w:rsidRDefault="000B3DBE" w:rsidP="003E4C24">
            <w:pPr>
              <w:rPr>
                <w:b/>
                <w:bCs/>
                <w:color w:val="153D63" w:themeColor="text2" w:themeTint="E6"/>
              </w:rPr>
            </w:pPr>
            <w:r w:rsidRPr="00FD78B3">
              <w:rPr>
                <w:b/>
                <w:bCs/>
                <w:color w:val="153D63" w:themeColor="text2" w:themeTint="E6"/>
              </w:rPr>
              <w:t xml:space="preserve">WRAP Area: </w:t>
            </w:r>
          </w:p>
          <w:p w14:paraId="157F1BCD" w14:textId="0C56405B" w:rsidR="000B3DBE" w:rsidRPr="00FD78B3" w:rsidRDefault="00F43883" w:rsidP="003E4C24">
            <w:pPr>
              <w:rPr>
                <w:color w:val="153D63" w:themeColor="text2" w:themeTint="E6"/>
              </w:rPr>
            </w:pPr>
            <w:r>
              <w:rPr>
                <w:color w:val="153D63" w:themeColor="text2" w:themeTint="E6"/>
              </w:rPr>
              <w:t>Operations Program</w:t>
            </w:r>
          </w:p>
        </w:tc>
        <w:tc>
          <w:tcPr>
            <w:tcW w:w="3117" w:type="dxa"/>
            <w:gridSpan w:val="2"/>
          </w:tcPr>
          <w:p w14:paraId="485A5253" w14:textId="68C65743" w:rsidR="000B3DBE" w:rsidRDefault="00C1275B" w:rsidP="003E4C24">
            <w:pPr>
              <w:rPr>
                <w:color w:val="153D63" w:themeColor="text2" w:themeTint="E6"/>
              </w:rPr>
            </w:pPr>
            <w:r>
              <w:rPr>
                <w:b/>
                <w:bCs/>
                <w:color w:val="153D63" w:themeColor="text2" w:themeTint="E6"/>
              </w:rPr>
              <w:t>Tariff</w:t>
            </w:r>
            <w:r w:rsidR="000B3DBE" w:rsidRPr="004E4785">
              <w:rPr>
                <w:b/>
                <w:bCs/>
                <w:color w:val="153D63" w:themeColor="text2" w:themeTint="E6"/>
              </w:rPr>
              <w:t xml:space="preserve"> Change</w:t>
            </w:r>
            <w:r w:rsidR="000B3DBE" w:rsidRPr="00FD78B3">
              <w:rPr>
                <w:color w:val="153D63" w:themeColor="text2" w:themeTint="E6"/>
              </w:rPr>
              <w:t>:</w:t>
            </w:r>
            <w:r w:rsidR="000B3DBE">
              <w:rPr>
                <w:color w:val="153D63" w:themeColor="text2" w:themeTint="E6"/>
              </w:rPr>
              <w:t xml:space="preserve"> </w:t>
            </w:r>
          </w:p>
          <w:p w14:paraId="4C152599" w14:textId="5339F7F1" w:rsidR="000B3DBE" w:rsidRPr="00FD78B3" w:rsidRDefault="00BA6228" w:rsidP="003E4C24">
            <w:pPr>
              <w:rPr>
                <w:color w:val="153D63" w:themeColor="text2" w:themeTint="E6"/>
              </w:rPr>
            </w:pPr>
            <w:r>
              <w:rPr>
                <w:color w:val="153D63" w:themeColor="text2" w:themeTint="E6"/>
              </w:rPr>
              <w:t>Yes</w:t>
            </w:r>
          </w:p>
        </w:tc>
        <w:tc>
          <w:tcPr>
            <w:tcW w:w="3117" w:type="dxa"/>
          </w:tcPr>
          <w:p w14:paraId="62504A8D" w14:textId="77777777" w:rsidR="000B3DBE" w:rsidRDefault="000B3DBE" w:rsidP="003E4C24">
            <w:pPr>
              <w:rPr>
                <w:b/>
                <w:bCs/>
                <w:color w:val="153D63" w:themeColor="text2" w:themeTint="E6"/>
              </w:rPr>
            </w:pPr>
            <w:r w:rsidRPr="004E4785">
              <w:rPr>
                <w:b/>
                <w:bCs/>
                <w:color w:val="153D63" w:themeColor="text2" w:themeTint="E6"/>
              </w:rPr>
              <w:t>Time Score:</w:t>
            </w:r>
          </w:p>
          <w:p w14:paraId="3D48F99C" w14:textId="74537808" w:rsidR="000B3DBE" w:rsidRPr="004E4785" w:rsidRDefault="00BA6228" w:rsidP="003E4C24">
            <w:pPr>
              <w:rPr>
                <w:color w:val="153D63" w:themeColor="text2" w:themeTint="E6"/>
              </w:rPr>
            </w:pPr>
            <w:r>
              <w:rPr>
                <w:color w:val="153D63" w:themeColor="text2" w:themeTint="E6"/>
              </w:rPr>
              <w:t>Long</w:t>
            </w:r>
          </w:p>
        </w:tc>
      </w:tr>
      <w:tr w:rsidR="000B3DBE" w14:paraId="2D39F02C" w14:textId="77777777" w:rsidTr="003E4C24">
        <w:tc>
          <w:tcPr>
            <w:tcW w:w="4675" w:type="dxa"/>
            <w:gridSpan w:val="2"/>
          </w:tcPr>
          <w:p w14:paraId="1CFA86C8" w14:textId="56A753B9" w:rsidR="000B3DBE" w:rsidRDefault="000B3DBE" w:rsidP="003E4C24">
            <w:r w:rsidRPr="00016218">
              <w:rPr>
                <w:b/>
                <w:bCs/>
              </w:rPr>
              <w:t>Lead Sponsor</w:t>
            </w:r>
            <w:r>
              <w:t xml:space="preserve">: </w:t>
            </w:r>
            <w:r w:rsidR="00EB4E71">
              <w:t>Steve</w:t>
            </w:r>
            <w:r w:rsidR="00B3185E">
              <w:t xml:space="preserve"> Bellcoff</w:t>
            </w:r>
          </w:p>
          <w:p w14:paraId="52116A2A" w14:textId="1569EE64" w:rsidR="000B3DBE" w:rsidRDefault="00B3185E" w:rsidP="003E4C24">
            <w:r>
              <w:t>srbellcoff@bpa.gov</w:t>
            </w:r>
          </w:p>
        </w:tc>
        <w:tc>
          <w:tcPr>
            <w:tcW w:w="4675" w:type="dxa"/>
            <w:gridSpan w:val="2"/>
          </w:tcPr>
          <w:p w14:paraId="0122C05A" w14:textId="77777777" w:rsidR="000B3DBE" w:rsidRPr="00651CDC" w:rsidRDefault="000B3DBE" w:rsidP="003E4C24">
            <w:r>
              <w:rPr>
                <w:b/>
                <w:bCs/>
              </w:rPr>
              <w:t xml:space="preserve">Co-Sponsor: </w:t>
            </w:r>
          </w:p>
        </w:tc>
      </w:tr>
      <w:tr w:rsidR="000B3DBE" w14:paraId="2B76A6EC" w14:textId="77777777" w:rsidTr="003E4C24">
        <w:tc>
          <w:tcPr>
            <w:tcW w:w="9350" w:type="dxa"/>
            <w:gridSpan w:val="4"/>
          </w:tcPr>
          <w:p w14:paraId="22BF99A9" w14:textId="611CD48B" w:rsidR="000B3DBE" w:rsidRPr="00C329E4" w:rsidRDefault="000B3DBE" w:rsidP="003E4C24">
            <w:r w:rsidRPr="00F64D69">
              <w:rPr>
                <w:b/>
                <w:bCs/>
              </w:rPr>
              <w:t>Summary</w:t>
            </w:r>
            <w:r>
              <w:t xml:space="preserve">: </w:t>
            </w:r>
            <w:r w:rsidR="00B3185E" w:rsidRPr="00B3185E">
              <w:t>Cap on Non-Delivery Failure change associated with curtailment of non-firm transmission</w:t>
            </w:r>
          </w:p>
        </w:tc>
      </w:tr>
      <w:tr w:rsidR="000B3DBE" w14:paraId="36FB94D6" w14:textId="77777777" w:rsidTr="003E4C24">
        <w:tc>
          <w:tcPr>
            <w:tcW w:w="9350" w:type="dxa"/>
            <w:gridSpan w:val="4"/>
          </w:tcPr>
          <w:p w14:paraId="514DF99A" w14:textId="77777777" w:rsidR="000B3DBE" w:rsidRDefault="000B3DBE" w:rsidP="003E4C24">
            <w:pPr>
              <w:rPr>
                <w:b/>
                <w:bCs/>
              </w:rPr>
            </w:pPr>
            <w:r>
              <w:rPr>
                <w:b/>
                <w:bCs/>
              </w:rPr>
              <w:t xml:space="preserve">Description of the issue: </w:t>
            </w:r>
          </w:p>
          <w:p w14:paraId="30C55A20" w14:textId="77777777" w:rsidR="00B3185E" w:rsidRPr="00B3185E" w:rsidRDefault="00B3185E" w:rsidP="00B3185E">
            <w:r w:rsidRPr="00B3185E">
              <w:t xml:space="preserve">There are periods and paths where firm transmission is not available in any </w:t>
            </w:r>
            <w:proofErr w:type="gramStart"/>
            <w:r w:rsidRPr="00B3185E">
              <w:t>time period</w:t>
            </w:r>
            <w:proofErr w:type="gramEnd"/>
            <w:r w:rsidRPr="00B3185E">
              <w:t xml:space="preserve"> Forward Showing, preschedule or RealTime).  It follows that there are occasions when scheduling the delivery of energy (from a holdback) on non-firm transmission is the only option.  Curtailment of non-firm transmission and ensuing failure to deliver could result in a Failure to Deliver Charges. (Tariff section 20.6).</w:t>
            </w:r>
          </w:p>
          <w:p w14:paraId="045C9EDE" w14:textId="77777777" w:rsidR="00B3185E" w:rsidRDefault="00B3185E" w:rsidP="00B3185E"/>
          <w:p w14:paraId="1E1F41E3" w14:textId="2A907EC9" w:rsidR="00B3185E" w:rsidRPr="00B3185E" w:rsidRDefault="00B3185E" w:rsidP="00B3185E">
            <w:r w:rsidRPr="00B3185E">
              <w:t>Section 20.7.3. of the Tariff provides a waiver process for participants who anticipate a failure to deliver.  If approved, the participant is not required to deliver holdback.    It is not clear if this waiver should apply or be approved for holdback scheduled on non-firm.   Of course, there are appropriate situations for a waiver due to lack of firm transmission (de-rates, outages), but if all lines are in service and firm is not available (this scenario</w:t>
            </w:r>
            <w:proofErr w:type="gramStart"/>
            <w:r w:rsidRPr="00B3185E">
              <w:t>)</w:t>
            </w:r>
            <w:proofErr w:type="gramEnd"/>
            <w:r w:rsidRPr="00B3185E">
              <w:t xml:space="preserve"> and tags cut w/out advance notice without a waiver a participant is exposed to large penalties.  Limiting holdback supply because of a lack of firm transmission may leave the program short capacity in the Operational window and is overly conservative since a large quantity of energy is delivered across non-firm transmission on a regular basis, and in fact WRAP energy delivered through non-firm schedules does not require a waiver.</w:t>
            </w:r>
          </w:p>
          <w:p w14:paraId="7E40344B" w14:textId="77777777" w:rsidR="00B3185E" w:rsidRDefault="00B3185E" w:rsidP="00B3185E"/>
          <w:p w14:paraId="302F6726" w14:textId="704766D0" w:rsidR="00B3185E" w:rsidRPr="00B3185E" w:rsidRDefault="00B3185E" w:rsidP="00B3185E">
            <w:r w:rsidRPr="00B3185E">
              <w:t xml:space="preserve">Aside from the waiver, participants face Failure to Deliver penalties (Section 20.7.4) if non-firm schedules are reduced or cut entirely.   The stiffness of the penalty depends on whether another participant can “fully” cover the undelivered energy.  If fully covered the first failure is 5-times the higher of DA or RT index, if not covered, the first failure to deliver penalty is 25 times </w:t>
            </w:r>
            <w:proofErr w:type="gramStart"/>
            <w:r w:rsidRPr="00B3185E">
              <w:t>the higher</w:t>
            </w:r>
            <w:proofErr w:type="gramEnd"/>
            <w:r w:rsidRPr="00B3185E">
              <w:t xml:space="preserve"> of the DA or RT index.    These penalties have a 5-year cumulation period; a single hourly curtailment in year one </w:t>
            </w:r>
            <w:proofErr w:type="gramStart"/>
            <w:r w:rsidRPr="00B3185E">
              <w:t>starts</w:t>
            </w:r>
            <w:proofErr w:type="gramEnd"/>
            <w:r w:rsidRPr="00B3185E">
              <w:t xml:space="preserve"> the 5-year clock triggering higher penalties for the duration of the 5-year period.  A second curtailment </w:t>
            </w:r>
            <w:r w:rsidRPr="00B3185E">
              <w:rPr>
                <w:i/>
                <w:iCs/>
              </w:rPr>
              <w:t>of a single hour</w:t>
            </w:r>
            <w:r w:rsidRPr="00B3185E">
              <w:t xml:space="preserve"> within the 5-year period could result in a penalty 50 times the higher of DA or RT index if another participant does not “fully” cover for curtailment.  (20 </w:t>
            </w:r>
            <w:proofErr w:type="gramStart"/>
            <w:r w:rsidRPr="00B3185E">
              <w:t>times index</w:t>
            </w:r>
            <w:proofErr w:type="gramEnd"/>
            <w:r w:rsidRPr="00B3185E">
              <w:t xml:space="preserve"> if another participant fully covers.)  Punitive.    Especially if participants tried but could not obtain firm transmission to deliver energy assigned by the program from a holdback in the operational window.    </w:t>
            </w:r>
          </w:p>
          <w:p w14:paraId="5C152990" w14:textId="77777777" w:rsidR="00B3185E" w:rsidRDefault="00B3185E" w:rsidP="00B3185E"/>
          <w:p w14:paraId="2594F3CC" w14:textId="00230F78" w:rsidR="00B3185E" w:rsidRPr="00B3185E" w:rsidRDefault="00B3185E" w:rsidP="00B3185E">
            <w:r w:rsidRPr="00B3185E">
              <w:t xml:space="preserve">Revenues from Failure to Deliver Penalties go to WRAP Schedule 1 costs if holdback </w:t>
            </w:r>
            <w:proofErr w:type="gramStart"/>
            <w:r w:rsidRPr="00B3185E">
              <w:t>fully</w:t>
            </w:r>
            <w:proofErr w:type="gramEnd"/>
            <w:r w:rsidRPr="00B3185E">
              <w:t xml:space="preserve"> covered by another participant.  If holdback </w:t>
            </w:r>
            <w:proofErr w:type="gramStart"/>
            <w:r w:rsidRPr="00B3185E">
              <w:t>not</w:t>
            </w:r>
            <w:proofErr w:type="gramEnd"/>
            <w:r w:rsidRPr="00B3185E">
              <w:t xml:space="preserve"> fully covered by other participants, </w:t>
            </w:r>
            <w:r w:rsidRPr="00B3185E">
              <w:lastRenderedPageBreak/>
              <w:t>revenues go to the entity who had the shortfall which was not covered.   The Tariff is not clear what happens if the shortfall is partially covered by another participant.</w:t>
            </w:r>
          </w:p>
          <w:p w14:paraId="15830276" w14:textId="77777777" w:rsidR="00B3185E" w:rsidRDefault="00B3185E" w:rsidP="00B3185E"/>
          <w:p w14:paraId="01EE889D" w14:textId="1D5C013F" w:rsidR="00B3185E" w:rsidRPr="00B3185E" w:rsidRDefault="00B3185E" w:rsidP="003E4C24">
            <w:r w:rsidRPr="00B3185E">
              <w:t>Finally, there are systems/markets in place today which cover failure to deliver scenarios in WECC</w:t>
            </w:r>
            <w:proofErr w:type="gramStart"/>
            <w:r w:rsidRPr="00B3185E">
              <w:t>:  On</w:t>
            </w:r>
            <w:proofErr w:type="gramEnd"/>
            <w:r w:rsidRPr="00B3185E">
              <w:t xml:space="preserve"> the physical replacement side we have Merchant Alerts, EIM, WPP reserve sharing group and EEA alerts.   Financially we have WPP and EIM settlements, and WSPP LDs.    In the absence of negligence or mal-intent, </w:t>
            </w:r>
            <w:proofErr w:type="gramStart"/>
            <w:r w:rsidRPr="00B3185E">
              <w:t>no</w:t>
            </w:r>
            <w:proofErr w:type="gramEnd"/>
            <w:r w:rsidRPr="00B3185E">
              <w:t xml:space="preserve"> need for a third WRAP penalty/settlement structure.</w:t>
            </w:r>
          </w:p>
        </w:tc>
      </w:tr>
      <w:tr w:rsidR="000B3DBE" w14:paraId="7F909B96" w14:textId="77777777" w:rsidTr="003E4C24">
        <w:tc>
          <w:tcPr>
            <w:tcW w:w="9350" w:type="dxa"/>
            <w:gridSpan w:val="4"/>
          </w:tcPr>
          <w:p w14:paraId="6C89B4DD" w14:textId="77777777" w:rsidR="000B3DBE" w:rsidRPr="006008A2" w:rsidRDefault="000B3DBE" w:rsidP="003E4C24">
            <w:r>
              <w:rPr>
                <w:b/>
                <w:bCs/>
              </w:rPr>
              <w:lastRenderedPageBreak/>
              <w:t xml:space="preserve">Proposed solution to the issue described: </w:t>
            </w:r>
          </w:p>
          <w:p w14:paraId="79EC76A5" w14:textId="33A94CD4" w:rsidR="000B3DBE" w:rsidRPr="00071B20" w:rsidRDefault="00071B20" w:rsidP="003E4C24">
            <w:r w:rsidRPr="00071B20">
              <w:t>If the participant with the holdback obligation attempted to purchase short term firm in both the preschedule and real time, but only non-firm transmission was available (and secured), or the participant redirected firm PTP on an hourly basis to provide holdback but the child/children were non-firm;  then the Failure to Deliver Charges should be capped at higher of DA or RT index (no multiplier) and these events should be excluded from the Cumulative Delivery Failure Period tally.  </w:t>
            </w:r>
          </w:p>
        </w:tc>
      </w:tr>
      <w:tr w:rsidR="000B3DBE" w14:paraId="735BCF69" w14:textId="77777777" w:rsidTr="003E4C24">
        <w:tc>
          <w:tcPr>
            <w:tcW w:w="9350" w:type="dxa"/>
            <w:gridSpan w:val="4"/>
          </w:tcPr>
          <w:p w14:paraId="69ADCF3D" w14:textId="77777777" w:rsidR="000B3DBE" w:rsidRDefault="000B3DBE" w:rsidP="003E4C24">
            <w:pPr>
              <w:rPr>
                <w:b/>
                <w:bCs/>
              </w:rPr>
            </w:pPr>
            <w:r>
              <w:rPr>
                <w:b/>
                <w:bCs/>
              </w:rPr>
              <w:t>Specific document and language you would like changed:</w:t>
            </w:r>
          </w:p>
          <w:p w14:paraId="4BF439D7" w14:textId="5E01A273" w:rsidR="000B3DBE" w:rsidRPr="009A5F70" w:rsidRDefault="009A5F70" w:rsidP="009A5F70">
            <w:pPr>
              <w:tabs>
                <w:tab w:val="left" w:pos="1095"/>
              </w:tabs>
            </w:pPr>
            <w:r w:rsidRPr="009A5F70">
              <w:t>Either expressly add the afore-mentioned exemption language provided to Tariff Section 20.7.3 or to both Sections 20.7.4.1 and 20.7.4.2 of the Tariff.</w:t>
            </w:r>
          </w:p>
        </w:tc>
      </w:tr>
      <w:tr w:rsidR="000B3DBE" w14:paraId="108D751D" w14:textId="77777777" w:rsidTr="003E4C24">
        <w:tc>
          <w:tcPr>
            <w:tcW w:w="9350" w:type="dxa"/>
            <w:gridSpan w:val="4"/>
          </w:tcPr>
          <w:p w14:paraId="2430D4F9" w14:textId="77777777" w:rsidR="000B3DBE" w:rsidRDefault="000B3DBE" w:rsidP="003E4C24">
            <w:pPr>
              <w:rPr>
                <w:b/>
                <w:bCs/>
              </w:rPr>
            </w:pPr>
            <w:r>
              <w:rPr>
                <w:b/>
                <w:bCs/>
              </w:rPr>
              <w:t xml:space="preserve">Suggestion for how language could be updated to address </w:t>
            </w:r>
            <w:proofErr w:type="gramStart"/>
            <w:r>
              <w:rPr>
                <w:b/>
                <w:bCs/>
              </w:rPr>
              <w:t>issue</w:t>
            </w:r>
            <w:proofErr w:type="gramEnd"/>
            <w:r>
              <w:rPr>
                <w:b/>
                <w:bCs/>
              </w:rPr>
              <w:t>:</w:t>
            </w:r>
          </w:p>
          <w:p w14:paraId="0067289B" w14:textId="218C5C24" w:rsidR="000B3DBE" w:rsidRPr="004A50B4" w:rsidRDefault="009A5F70" w:rsidP="003E4C24">
            <w:r>
              <w:t>-</w:t>
            </w:r>
          </w:p>
        </w:tc>
      </w:tr>
      <w:tr w:rsidR="000B3DBE" w14:paraId="1218EDED" w14:textId="77777777" w:rsidTr="003E4C24">
        <w:tc>
          <w:tcPr>
            <w:tcW w:w="9350" w:type="dxa"/>
            <w:gridSpan w:val="4"/>
          </w:tcPr>
          <w:p w14:paraId="1DD292DC" w14:textId="77777777" w:rsidR="000B3DBE" w:rsidRDefault="000B3DBE" w:rsidP="003E4C24">
            <w:r>
              <w:rPr>
                <w:b/>
                <w:bCs/>
              </w:rPr>
              <w:t>Describe the benefits that will be realized from this change:</w:t>
            </w:r>
          </w:p>
          <w:p w14:paraId="3258C20B" w14:textId="68AE4519" w:rsidR="000B3DBE" w:rsidRPr="009A5F70" w:rsidRDefault="009A5F70" w:rsidP="003E4C24">
            <w:proofErr w:type="gramStart"/>
            <w:r w:rsidRPr="009A5F70">
              <w:t>Participant</w:t>
            </w:r>
            <w:proofErr w:type="gramEnd"/>
            <w:r w:rsidRPr="009A5F70">
              <w:t>(s) who are long and attempting to provide holdback on firm transmission should not be punished for trying to deliver on firm, but not able to secure.    Conversely participants who are short should not be enriched by the revenue associated with penalties forced on participants who are not able to obtain firm transmission.</w:t>
            </w:r>
          </w:p>
        </w:tc>
      </w:tr>
      <w:tr w:rsidR="000B3DBE" w14:paraId="1AD57C8B" w14:textId="77777777" w:rsidTr="003E4C24">
        <w:tc>
          <w:tcPr>
            <w:tcW w:w="9350" w:type="dxa"/>
            <w:gridSpan w:val="4"/>
          </w:tcPr>
          <w:p w14:paraId="616C4CFA" w14:textId="77777777" w:rsidR="000B3DBE" w:rsidRDefault="000B3DBE" w:rsidP="003E4C24">
            <w:pPr>
              <w:rPr>
                <w:b/>
                <w:bCs/>
              </w:rPr>
            </w:pPr>
            <w:r>
              <w:rPr>
                <w:b/>
                <w:bCs/>
              </w:rPr>
              <w:t>Any data/information that would characterize the importance of the issue:</w:t>
            </w:r>
          </w:p>
          <w:p w14:paraId="12D1EF49" w14:textId="63A702AA" w:rsidR="000B3DBE" w:rsidRPr="00100E84" w:rsidRDefault="00100E84" w:rsidP="003E4C24">
            <w:r>
              <w:t>F</w:t>
            </w:r>
            <w:r w:rsidRPr="00100E84">
              <w:t xml:space="preserve">irm transmission is often not </w:t>
            </w:r>
            <w:proofErr w:type="gramStart"/>
            <w:r w:rsidRPr="00100E84">
              <w:t>available</w:t>
            </w:r>
            <w:proofErr w:type="gramEnd"/>
            <w:r w:rsidRPr="00100E84">
              <w:t xml:space="preserve"> and curtailments are possible.   The WRAP program is voluntary; exposing participants to penalty risk (at multipliers of current market value) due to the lack of availability of firm transmission, creates risk </w:t>
            </w:r>
            <w:proofErr w:type="gramStart"/>
            <w:r w:rsidRPr="00100E84">
              <w:t>situation</w:t>
            </w:r>
            <w:proofErr w:type="gramEnd"/>
            <w:r w:rsidRPr="00100E84">
              <w:t xml:space="preserve"> that will cause participants (and/or potential participants) to have high dollar risk scenarios could/will drive those entities away from the program.  Lacking ill intent or negligence, it is sustainable and logical for the WRAP to assign penalties in-line with actual costs when a participant has taken the measure possible to assure delivery even through non-firm transmission when firm simply is not available.</w:t>
            </w:r>
          </w:p>
        </w:tc>
      </w:tr>
    </w:tbl>
    <w:p w14:paraId="391D2384" w14:textId="77777777" w:rsidR="00BF729F" w:rsidRDefault="00BF729F">
      <w:pPr>
        <w:rPr>
          <w:rFonts w:eastAsiaTheme="majorEastAsia"/>
        </w:rPr>
      </w:pPr>
      <w:r>
        <w:rPr>
          <w:rFonts w:eastAsiaTheme="majorEastAsia"/>
        </w:rPr>
        <w:br w:type="page"/>
      </w:r>
    </w:p>
    <w:tbl>
      <w:tblPr>
        <w:tblStyle w:val="TableGrid"/>
        <w:tblW w:w="0" w:type="auto"/>
        <w:tblLook w:val="04A0" w:firstRow="1" w:lastRow="0" w:firstColumn="1" w:lastColumn="0" w:noHBand="0" w:noVBand="1"/>
      </w:tblPr>
      <w:tblGrid>
        <w:gridCol w:w="3116"/>
        <w:gridCol w:w="1559"/>
        <w:gridCol w:w="1558"/>
        <w:gridCol w:w="3117"/>
      </w:tblGrid>
      <w:tr w:rsidR="00BF729F" w14:paraId="42281D82" w14:textId="77777777" w:rsidTr="003E4C24">
        <w:tc>
          <w:tcPr>
            <w:tcW w:w="9350" w:type="dxa"/>
            <w:gridSpan w:val="4"/>
          </w:tcPr>
          <w:p w14:paraId="2DE84191" w14:textId="42872116" w:rsidR="00BF729F" w:rsidRDefault="00BF729F" w:rsidP="003E4C24">
            <w:pPr>
              <w:pStyle w:val="Heading1"/>
            </w:pPr>
            <w:bookmarkStart w:id="65" w:name="_Toc189746909"/>
            <w:bookmarkStart w:id="66" w:name="_Toc189840335"/>
            <w:r>
              <w:lastRenderedPageBreak/>
              <w:t>2024-CRF-0</w:t>
            </w:r>
            <w:r w:rsidR="00A276F3">
              <w:t>24</w:t>
            </w:r>
            <w:r>
              <w:t xml:space="preserve"> / </w:t>
            </w:r>
            <w:r w:rsidR="00A276F3">
              <w:t>PAC</w:t>
            </w:r>
            <w:r>
              <w:t xml:space="preserve"> / </w:t>
            </w:r>
            <w:r w:rsidR="001676A3">
              <w:t>Flat Load and PRMs</w:t>
            </w:r>
            <w:bookmarkEnd w:id="65"/>
            <w:bookmarkEnd w:id="66"/>
          </w:p>
        </w:tc>
      </w:tr>
      <w:tr w:rsidR="00BF729F" w14:paraId="4E76EEF8" w14:textId="77777777" w:rsidTr="003E4C24">
        <w:tc>
          <w:tcPr>
            <w:tcW w:w="3116" w:type="dxa"/>
          </w:tcPr>
          <w:p w14:paraId="1800E928" w14:textId="77777777" w:rsidR="00BF729F" w:rsidRPr="00FD78B3" w:rsidRDefault="00BF729F" w:rsidP="003E4C24">
            <w:pPr>
              <w:rPr>
                <w:b/>
                <w:bCs/>
                <w:color w:val="153D63" w:themeColor="text2" w:themeTint="E6"/>
              </w:rPr>
            </w:pPr>
            <w:r w:rsidRPr="00FD78B3">
              <w:rPr>
                <w:b/>
                <w:bCs/>
                <w:color w:val="153D63" w:themeColor="text2" w:themeTint="E6"/>
              </w:rPr>
              <w:t xml:space="preserve">WRAP Area: </w:t>
            </w:r>
          </w:p>
          <w:p w14:paraId="75FD70B4" w14:textId="6272A1D1" w:rsidR="00BF729F" w:rsidRPr="00FD78B3" w:rsidRDefault="00F43883" w:rsidP="003E4C24">
            <w:pPr>
              <w:rPr>
                <w:color w:val="153D63" w:themeColor="text2" w:themeTint="E6"/>
              </w:rPr>
            </w:pPr>
            <w:r>
              <w:rPr>
                <w:color w:val="153D63" w:themeColor="text2" w:themeTint="E6"/>
              </w:rPr>
              <w:t>FS Capacity Requirement</w:t>
            </w:r>
          </w:p>
        </w:tc>
        <w:tc>
          <w:tcPr>
            <w:tcW w:w="3117" w:type="dxa"/>
            <w:gridSpan w:val="2"/>
          </w:tcPr>
          <w:p w14:paraId="16D9AD0B" w14:textId="75FAB94F" w:rsidR="00BF729F" w:rsidRDefault="00C1275B" w:rsidP="003E4C24">
            <w:pPr>
              <w:rPr>
                <w:color w:val="153D63" w:themeColor="text2" w:themeTint="E6"/>
              </w:rPr>
            </w:pPr>
            <w:r>
              <w:rPr>
                <w:b/>
                <w:bCs/>
                <w:color w:val="153D63" w:themeColor="text2" w:themeTint="E6"/>
              </w:rPr>
              <w:t>Tariff</w:t>
            </w:r>
            <w:r w:rsidR="00BF729F" w:rsidRPr="004E4785">
              <w:rPr>
                <w:b/>
                <w:bCs/>
                <w:color w:val="153D63" w:themeColor="text2" w:themeTint="E6"/>
              </w:rPr>
              <w:t xml:space="preserve"> Change</w:t>
            </w:r>
            <w:r w:rsidR="00BF729F" w:rsidRPr="00FD78B3">
              <w:rPr>
                <w:color w:val="153D63" w:themeColor="text2" w:themeTint="E6"/>
              </w:rPr>
              <w:t>:</w:t>
            </w:r>
            <w:r w:rsidR="00BF729F">
              <w:rPr>
                <w:color w:val="153D63" w:themeColor="text2" w:themeTint="E6"/>
              </w:rPr>
              <w:t xml:space="preserve"> </w:t>
            </w:r>
          </w:p>
          <w:p w14:paraId="37D03804" w14:textId="3144272B" w:rsidR="00BF729F" w:rsidRPr="00FD78B3" w:rsidRDefault="001676A3" w:rsidP="003E4C24">
            <w:pPr>
              <w:rPr>
                <w:color w:val="153D63" w:themeColor="text2" w:themeTint="E6"/>
              </w:rPr>
            </w:pPr>
            <w:r>
              <w:rPr>
                <w:color w:val="153D63" w:themeColor="text2" w:themeTint="E6"/>
              </w:rPr>
              <w:t>Yes</w:t>
            </w:r>
          </w:p>
        </w:tc>
        <w:tc>
          <w:tcPr>
            <w:tcW w:w="3117" w:type="dxa"/>
          </w:tcPr>
          <w:p w14:paraId="4A01D40F" w14:textId="77777777" w:rsidR="00BF729F" w:rsidRDefault="00BF729F" w:rsidP="003E4C24">
            <w:pPr>
              <w:rPr>
                <w:b/>
                <w:bCs/>
                <w:color w:val="153D63" w:themeColor="text2" w:themeTint="E6"/>
              </w:rPr>
            </w:pPr>
            <w:r w:rsidRPr="004E4785">
              <w:rPr>
                <w:b/>
                <w:bCs/>
                <w:color w:val="153D63" w:themeColor="text2" w:themeTint="E6"/>
              </w:rPr>
              <w:t>Time Score:</w:t>
            </w:r>
          </w:p>
          <w:p w14:paraId="43311EC9" w14:textId="3888AD45" w:rsidR="00BF729F" w:rsidRPr="004E4785" w:rsidRDefault="001676A3" w:rsidP="003E4C24">
            <w:pPr>
              <w:rPr>
                <w:color w:val="153D63" w:themeColor="text2" w:themeTint="E6"/>
              </w:rPr>
            </w:pPr>
            <w:r>
              <w:rPr>
                <w:color w:val="153D63" w:themeColor="text2" w:themeTint="E6"/>
              </w:rPr>
              <w:t>Long</w:t>
            </w:r>
          </w:p>
        </w:tc>
      </w:tr>
      <w:tr w:rsidR="00BF729F" w14:paraId="7D9FA4A3" w14:textId="77777777" w:rsidTr="003E4C24">
        <w:tc>
          <w:tcPr>
            <w:tcW w:w="4675" w:type="dxa"/>
            <w:gridSpan w:val="2"/>
          </w:tcPr>
          <w:p w14:paraId="43BA73CA" w14:textId="2EBB170D" w:rsidR="00BF729F" w:rsidRDefault="00BF729F" w:rsidP="003E4C24">
            <w:r w:rsidRPr="00016218">
              <w:rPr>
                <w:b/>
                <w:bCs/>
              </w:rPr>
              <w:t>Lead Sponsor</w:t>
            </w:r>
            <w:r>
              <w:t xml:space="preserve">: </w:t>
            </w:r>
            <w:r w:rsidR="006C101E">
              <w:t>Benjamin Faulkinberry</w:t>
            </w:r>
          </w:p>
          <w:p w14:paraId="62F8E219" w14:textId="1F0C4224" w:rsidR="00BF729F" w:rsidRDefault="006C101E" w:rsidP="003E4C24">
            <w:r>
              <w:t>Benjamin.faulkinberry@pacificorp.com</w:t>
            </w:r>
          </w:p>
        </w:tc>
        <w:tc>
          <w:tcPr>
            <w:tcW w:w="4675" w:type="dxa"/>
            <w:gridSpan w:val="2"/>
          </w:tcPr>
          <w:p w14:paraId="0106D17F" w14:textId="77777777" w:rsidR="00BF729F" w:rsidRPr="00651CDC" w:rsidRDefault="00BF729F" w:rsidP="003E4C24">
            <w:r>
              <w:rPr>
                <w:b/>
                <w:bCs/>
              </w:rPr>
              <w:t xml:space="preserve">Co-Sponsor: </w:t>
            </w:r>
          </w:p>
        </w:tc>
      </w:tr>
      <w:tr w:rsidR="00BF729F" w14:paraId="613AF88D" w14:textId="77777777" w:rsidTr="003E4C24">
        <w:tc>
          <w:tcPr>
            <w:tcW w:w="9350" w:type="dxa"/>
            <w:gridSpan w:val="4"/>
          </w:tcPr>
          <w:p w14:paraId="707C078F" w14:textId="2E122BBF" w:rsidR="00BF729F" w:rsidRPr="00C329E4" w:rsidRDefault="00BF729F" w:rsidP="003E4C24">
            <w:r w:rsidRPr="00F64D69">
              <w:rPr>
                <w:b/>
                <w:bCs/>
              </w:rPr>
              <w:t>Summary</w:t>
            </w:r>
            <w:r>
              <w:t xml:space="preserve">: </w:t>
            </w:r>
            <w:r w:rsidR="009920F0" w:rsidRPr="009920F0">
              <w:t>Program Consideration of Data Center Additions and Other Large Non-Conforming Loads</w:t>
            </w:r>
          </w:p>
        </w:tc>
      </w:tr>
      <w:tr w:rsidR="00BF729F" w14:paraId="6BFC883D" w14:textId="77777777" w:rsidTr="003E4C24">
        <w:tc>
          <w:tcPr>
            <w:tcW w:w="9350" w:type="dxa"/>
            <w:gridSpan w:val="4"/>
          </w:tcPr>
          <w:p w14:paraId="1F801C2F" w14:textId="77777777" w:rsidR="00BF729F" w:rsidRDefault="00BF729F" w:rsidP="003E4C24">
            <w:pPr>
              <w:rPr>
                <w:b/>
                <w:bCs/>
              </w:rPr>
            </w:pPr>
            <w:r>
              <w:rPr>
                <w:b/>
                <w:bCs/>
              </w:rPr>
              <w:t xml:space="preserve">Description of the issue: </w:t>
            </w:r>
          </w:p>
          <w:p w14:paraId="2E5E1FF3" w14:textId="056F386E" w:rsidR="009920F0" w:rsidRPr="006008A2" w:rsidRDefault="009920F0" w:rsidP="003E4C24">
            <w:r w:rsidRPr="009920F0">
              <w:t xml:space="preserve">A significant </w:t>
            </w:r>
            <w:proofErr w:type="gramStart"/>
            <w:r w:rsidRPr="009920F0">
              <w:t>amount</w:t>
            </w:r>
            <w:proofErr w:type="gramEnd"/>
            <w:r w:rsidRPr="009920F0">
              <w:t xml:space="preserve"> of utilities’ anticipated load growth is attributed to large, non-conforming loads with high load factors such as data centers. WRAP modeling practices and policy may need to adapt as loads of this nature comprise a growing percentage of load within the program footprint. </w:t>
            </w:r>
            <w:proofErr w:type="gramStart"/>
            <w:r w:rsidRPr="009920F0">
              <w:t>The WRAP</w:t>
            </w:r>
            <w:proofErr w:type="gramEnd"/>
            <w:r w:rsidRPr="009920F0">
              <w:t xml:space="preserve"> will want to ensure it has considered this industry dynamic when establishing individual Participants’ Forward Showing capacity requirements. Furthermore, Participants and their regulators will be looking to WRAP to ensure Participants who bring these types of loads online earlier than other Participants, or Participants whose load profiles contain larger percentages of these types of loads are not shouldering an inequitable amount of capacity needed to support a 1-in-10 LOLE regional reliability metric. </w:t>
            </w:r>
          </w:p>
        </w:tc>
      </w:tr>
      <w:tr w:rsidR="00BF729F" w14:paraId="32E0E219" w14:textId="77777777" w:rsidTr="003E4C24">
        <w:tc>
          <w:tcPr>
            <w:tcW w:w="9350" w:type="dxa"/>
            <w:gridSpan w:val="4"/>
          </w:tcPr>
          <w:p w14:paraId="520379A1" w14:textId="77777777" w:rsidR="00BF729F" w:rsidRPr="006008A2" w:rsidRDefault="00BF729F" w:rsidP="003E4C24">
            <w:r>
              <w:rPr>
                <w:b/>
                <w:bCs/>
              </w:rPr>
              <w:t xml:space="preserve">Proposed solution to the issue described: </w:t>
            </w:r>
          </w:p>
          <w:p w14:paraId="78766DE0" w14:textId="77777777" w:rsidR="003616E5" w:rsidRDefault="003616E5" w:rsidP="003616E5">
            <w:r w:rsidRPr="003616E5">
              <w:t>Possible program changes could include:</w:t>
            </w:r>
          </w:p>
          <w:p w14:paraId="2686FE59" w14:textId="77777777" w:rsidR="003616E5" w:rsidRPr="003616E5" w:rsidRDefault="003616E5" w:rsidP="003616E5"/>
          <w:p w14:paraId="726225A1" w14:textId="77777777" w:rsidR="003616E5" w:rsidRDefault="003616E5" w:rsidP="003616E5">
            <w:r w:rsidRPr="003616E5">
              <w:t>-Participants with demonstrable significant loads which fit defined parameters may be allowed by the program to bifurcate these loads in their respective FS submittals, and these loads may have a separate PRM or associated capacity requirement. This separate PRM value or capacity requirement would reflect the non-weather-sensitive and high load factor attributes of this load while still supporting a 1-in-10 LOLE regional reliability metric.</w:t>
            </w:r>
          </w:p>
          <w:p w14:paraId="40997A69" w14:textId="77777777" w:rsidR="003616E5" w:rsidRPr="003616E5" w:rsidRDefault="003616E5" w:rsidP="003616E5"/>
          <w:p w14:paraId="3A4A8A0C" w14:textId="77777777" w:rsidR="003616E5" w:rsidRDefault="003616E5" w:rsidP="003616E5">
            <w:r w:rsidRPr="003616E5">
              <w:t>-If loads of this nature are kept in the pool of existing program load, the program may adjust an individual Participant’s applicable PRM to reflect the proportion of these loads within a Participant’s P50 load forecast.</w:t>
            </w:r>
          </w:p>
          <w:p w14:paraId="3DC47D0F" w14:textId="77777777" w:rsidR="003616E5" w:rsidRPr="003616E5" w:rsidRDefault="003616E5" w:rsidP="003616E5"/>
          <w:p w14:paraId="589ED23D" w14:textId="77777777" w:rsidR="003616E5" w:rsidRDefault="003616E5" w:rsidP="003616E5">
            <w:r w:rsidRPr="003616E5">
              <w:t xml:space="preserve">-If customer loads of this nature have curtailment provisions in their respective agreements with their local load-serving entity, some or </w:t>
            </w:r>
            <w:proofErr w:type="gramStart"/>
            <w:r w:rsidRPr="003616E5">
              <w:t>all of</w:t>
            </w:r>
            <w:proofErr w:type="gramEnd"/>
            <w:r w:rsidRPr="003616E5">
              <w:t xml:space="preserve"> the </w:t>
            </w:r>
            <w:proofErr w:type="gramStart"/>
            <w:r w:rsidRPr="003616E5">
              <w:t>load</w:t>
            </w:r>
            <w:proofErr w:type="gramEnd"/>
            <w:r w:rsidRPr="003616E5">
              <w:t xml:space="preserve"> may instead be treated as a DR program.</w:t>
            </w:r>
          </w:p>
          <w:p w14:paraId="7F85C64D" w14:textId="77777777" w:rsidR="003616E5" w:rsidRPr="003616E5" w:rsidRDefault="003616E5" w:rsidP="003616E5"/>
          <w:p w14:paraId="5FF44CDE" w14:textId="77777777" w:rsidR="003616E5" w:rsidRDefault="003616E5" w:rsidP="003616E5">
            <w:r w:rsidRPr="003616E5">
              <w:t xml:space="preserve">-Customer loads of this nature with behind-the-meter generation which can be called upon by the local utility in a reliability emergency (but cannot be injected into the grid), or, have curtailment provisions in their respective interconnection agreements may be considered “non-firm load” and thus excluded from the WRAP FS P50 load forecast. This </w:t>
            </w:r>
            <w:r w:rsidRPr="003616E5">
              <w:lastRenderedPageBreak/>
              <w:t xml:space="preserve">would be </w:t>
            </w:r>
            <w:proofErr w:type="gramStart"/>
            <w:r w:rsidRPr="003616E5">
              <w:t>similar to</w:t>
            </w:r>
            <w:proofErr w:type="gramEnd"/>
            <w:r w:rsidRPr="003616E5">
              <w:t xml:space="preserve"> a Participant selling non-firm energy or capacity which can be recalled if needed to serve firm obligations.</w:t>
            </w:r>
          </w:p>
          <w:p w14:paraId="3548812B" w14:textId="77777777" w:rsidR="003616E5" w:rsidRPr="003616E5" w:rsidRDefault="003616E5" w:rsidP="003616E5"/>
          <w:p w14:paraId="6A5DFDDC" w14:textId="72A21CFD" w:rsidR="00BF729F" w:rsidRPr="00AB7637" w:rsidRDefault="003616E5" w:rsidP="003616E5">
            <w:r w:rsidRPr="003616E5">
              <w:t>Discussion and studies may arrive at different solutions not included in this list of possibilities.</w:t>
            </w:r>
          </w:p>
        </w:tc>
      </w:tr>
      <w:tr w:rsidR="00BF729F" w14:paraId="3CB2B403" w14:textId="77777777" w:rsidTr="003E4C24">
        <w:tc>
          <w:tcPr>
            <w:tcW w:w="9350" w:type="dxa"/>
            <w:gridSpan w:val="4"/>
          </w:tcPr>
          <w:p w14:paraId="784EB89D" w14:textId="77777777" w:rsidR="00BF729F" w:rsidRDefault="00BF729F" w:rsidP="003E4C24">
            <w:pPr>
              <w:rPr>
                <w:b/>
                <w:bCs/>
              </w:rPr>
            </w:pPr>
            <w:r>
              <w:rPr>
                <w:b/>
                <w:bCs/>
              </w:rPr>
              <w:lastRenderedPageBreak/>
              <w:t>Specific document and language you would like changed:</w:t>
            </w:r>
          </w:p>
          <w:p w14:paraId="7F0D4F93" w14:textId="503F1CB5" w:rsidR="00BF729F" w:rsidRPr="003E595A" w:rsidRDefault="003616E5" w:rsidP="003E4C24">
            <w:r>
              <w:t>-</w:t>
            </w:r>
          </w:p>
        </w:tc>
      </w:tr>
      <w:tr w:rsidR="00BF729F" w14:paraId="053FD0AE" w14:textId="77777777" w:rsidTr="003E4C24">
        <w:tc>
          <w:tcPr>
            <w:tcW w:w="9350" w:type="dxa"/>
            <w:gridSpan w:val="4"/>
          </w:tcPr>
          <w:p w14:paraId="2EB0A970" w14:textId="77777777" w:rsidR="00BF729F" w:rsidRDefault="00BF729F" w:rsidP="003E4C24">
            <w:pPr>
              <w:rPr>
                <w:b/>
                <w:bCs/>
              </w:rPr>
            </w:pPr>
            <w:r>
              <w:rPr>
                <w:b/>
                <w:bCs/>
              </w:rPr>
              <w:t xml:space="preserve">Suggestion for how language could be updated to address </w:t>
            </w:r>
            <w:proofErr w:type="gramStart"/>
            <w:r>
              <w:rPr>
                <w:b/>
                <w:bCs/>
              </w:rPr>
              <w:t>issue</w:t>
            </w:r>
            <w:proofErr w:type="gramEnd"/>
            <w:r>
              <w:rPr>
                <w:b/>
                <w:bCs/>
              </w:rPr>
              <w:t>:</w:t>
            </w:r>
          </w:p>
          <w:p w14:paraId="4A60F911" w14:textId="203D1CE7" w:rsidR="00BF729F" w:rsidRPr="004A50B4" w:rsidRDefault="003616E5" w:rsidP="003E4C24">
            <w:r>
              <w:t>-</w:t>
            </w:r>
          </w:p>
        </w:tc>
      </w:tr>
      <w:tr w:rsidR="00BF729F" w14:paraId="40B066C6" w14:textId="77777777" w:rsidTr="003E4C24">
        <w:tc>
          <w:tcPr>
            <w:tcW w:w="9350" w:type="dxa"/>
            <w:gridSpan w:val="4"/>
          </w:tcPr>
          <w:p w14:paraId="7C354BF8" w14:textId="77777777" w:rsidR="00BF729F" w:rsidRDefault="00BF729F" w:rsidP="003E4C24">
            <w:r>
              <w:rPr>
                <w:b/>
                <w:bCs/>
              </w:rPr>
              <w:t>Describe the benefits that will be realized from this change:</w:t>
            </w:r>
          </w:p>
          <w:p w14:paraId="7400C5CE" w14:textId="77777777" w:rsidR="00E73810" w:rsidRPr="00E73810" w:rsidRDefault="00E73810" w:rsidP="00E73810">
            <w:r w:rsidRPr="00E73810">
              <w:t>The WRAP devoting time and resources to study the effects of load growth associated with this category of customer has multiple potential benefits to Participants as well as the credibility of the program. The WRAP may conclude it can afford a lower capacity requirement associated with these loads without sacrificing regional reliability if a Participant can demonstrate the individual loads meet program-defined parameters. </w:t>
            </w:r>
          </w:p>
          <w:p w14:paraId="4D454694" w14:textId="77777777" w:rsidR="00E73810" w:rsidRDefault="00E73810" w:rsidP="003E4C24"/>
          <w:p w14:paraId="23B0621B" w14:textId="58D70E1D" w:rsidR="00BF729F" w:rsidRPr="00A5483E" w:rsidRDefault="00E73810" w:rsidP="003E4C24">
            <w:r w:rsidRPr="00E73810">
              <w:t>Even if discussion and studies result in no change in program requirements to accommodate these types of loads, Participants will have public resources to reference in discussions with regulators as well as prospective customers who wish to connect this type of load.</w:t>
            </w:r>
          </w:p>
        </w:tc>
      </w:tr>
      <w:tr w:rsidR="00BF729F" w14:paraId="34336686" w14:textId="77777777" w:rsidTr="003E4C24">
        <w:tc>
          <w:tcPr>
            <w:tcW w:w="9350" w:type="dxa"/>
            <w:gridSpan w:val="4"/>
          </w:tcPr>
          <w:p w14:paraId="4A637FEA" w14:textId="77777777" w:rsidR="00BF729F" w:rsidRDefault="00BF729F" w:rsidP="003E4C24">
            <w:pPr>
              <w:rPr>
                <w:b/>
                <w:bCs/>
              </w:rPr>
            </w:pPr>
            <w:r>
              <w:rPr>
                <w:b/>
                <w:bCs/>
              </w:rPr>
              <w:t>Any data/information that would characterize the importance of the issue:</w:t>
            </w:r>
          </w:p>
          <w:p w14:paraId="662F0082" w14:textId="61A9556D" w:rsidR="00BF729F" w:rsidRPr="00324C95" w:rsidRDefault="00E73810" w:rsidP="00E73810">
            <w:r w:rsidRPr="00E73810">
              <w:t xml:space="preserve">The Western Electric Coordinating Council’s 2024 Assessment of Resource Adequacy is one of </w:t>
            </w:r>
            <w:proofErr w:type="gramStart"/>
            <w:r w:rsidRPr="00E73810">
              <w:t>a number of</w:t>
            </w:r>
            <w:proofErr w:type="gramEnd"/>
            <w:r w:rsidRPr="00E73810">
              <w:t xml:space="preserve"> public documents and statements from industry groups and utilities which highlight the amount of load growth associated with this category of customer.</w:t>
            </w:r>
          </w:p>
        </w:tc>
      </w:tr>
    </w:tbl>
    <w:p w14:paraId="051C4C58" w14:textId="77777777" w:rsidR="00454D51" w:rsidRDefault="00454D51">
      <w:pPr>
        <w:rPr>
          <w:rFonts w:eastAsiaTheme="majorEastAsia"/>
        </w:rPr>
      </w:pPr>
      <w:r>
        <w:rPr>
          <w:rFonts w:eastAsiaTheme="majorEastAsia"/>
        </w:rPr>
        <w:br w:type="page"/>
      </w:r>
    </w:p>
    <w:tbl>
      <w:tblPr>
        <w:tblStyle w:val="TableGrid"/>
        <w:tblW w:w="0" w:type="auto"/>
        <w:tblLook w:val="04A0" w:firstRow="1" w:lastRow="0" w:firstColumn="1" w:lastColumn="0" w:noHBand="0" w:noVBand="1"/>
      </w:tblPr>
      <w:tblGrid>
        <w:gridCol w:w="3116"/>
        <w:gridCol w:w="1559"/>
        <w:gridCol w:w="1558"/>
        <w:gridCol w:w="3117"/>
      </w:tblGrid>
      <w:tr w:rsidR="00454D51" w14:paraId="63CAC9C5" w14:textId="77777777" w:rsidTr="003E4C24">
        <w:tc>
          <w:tcPr>
            <w:tcW w:w="9350" w:type="dxa"/>
            <w:gridSpan w:val="4"/>
          </w:tcPr>
          <w:p w14:paraId="29A96D17" w14:textId="63DF18A9" w:rsidR="00454D51" w:rsidRPr="00802DA2" w:rsidRDefault="00454D51" w:rsidP="003E4C24">
            <w:pPr>
              <w:pStyle w:val="Heading1"/>
              <w:rPr>
                <w:sz w:val="36"/>
                <w:szCs w:val="36"/>
              </w:rPr>
            </w:pPr>
            <w:bookmarkStart w:id="67" w:name="_Toc189746910"/>
            <w:bookmarkStart w:id="68" w:name="_Toc189840336"/>
            <w:r w:rsidRPr="00802DA2">
              <w:rPr>
                <w:sz w:val="36"/>
                <w:szCs w:val="36"/>
              </w:rPr>
              <w:lastRenderedPageBreak/>
              <w:t>2024-CRF-0</w:t>
            </w:r>
            <w:r w:rsidR="00AA515E" w:rsidRPr="00802DA2">
              <w:rPr>
                <w:sz w:val="36"/>
                <w:szCs w:val="36"/>
              </w:rPr>
              <w:t>25</w:t>
            </w:r>
            <w:r w:rsidRPr="00802DA2">
              <w:rPr>
                <w:sz w:val="36"/>
                <w:szCs w:val="36"/>
              </w:rPr>
              <w:t xml:space="preserve"> / </w:t>
            </w:r>
            <w:r w:rsidR="00AA515E" w:rsidRPr="00802DA2">
              <w:rPr>
                <w:sz w:val="36"/>
                <w:szCs w:val="36"/>
              </w:rPr>
              <w:t>IPC</w:t>
            </w:r>
            <w:r w:rsidRPr="00802DA2">
              <w:rPr>
                <w:sz w:val="36"/>
                <w:szCs w:val="36"/>
              </w:rPr>
              <w:t xml:space="preserve"> / </w:t>
            </w:r>
            <w:r w:rsidR="00802DA2" w:rsidRPr="00802DA2">
              <w:rPr>
                <w:sz w:val="36"/>
                <w:szCs w:val="36"/>
              </w:rPr>
              <w:t>Qualifying Contract Options and Review</w:t>
            </w:r>
            <w:bookmarkEnd w:id="67"/>
            <w:bookmarkEnd w:id="68"/>
          </w:p>
        </w:tc>
      </w:tr>
      <w:tr w:rsidR="00454D51" w14:paraId="77870604" w14:textId="77777777" w:rsidTr="003E4C24">
        <w:tc>
          <w:tcPr>
            <w:tcW w:w="3116" w:type="dxa"/>
          </w:tcPr>
          <w:p w14:paraId="75AB702B" w14:textId="77777777" w:rsidR="00454D51" w:rsidRPr="00FD78B3" w:rsidRDefault="00454D51" w:rsidP="003E4C24">
            <w:pPr>
              <w:rPr>
                <w:b/>
                <w:bCs/>
                <w:color w:val="153D63" w:themeColor="text2" w:themeTint="E6"/>
              </w:rPr>
            </w:pPr>
            <w:r w:rsidRPr="00FD78B3">
              <w:rPr>
                <w:b/>
                <w:bCs/>
                <w:color w:val="153D63" w:themeColor="text2" w:themeTint="E6"/>
              </w:rPr>
              <w:t xml:space="preserve">WRAP Area: </w:t>
            </w:r>
          </w:p>
          <w:p w14:paraId="4CFB0726" w14:textId="6E568CBC" w:rsidR="00454D51" w:rsidRPr="00FD78B3" w:rsidRDefault="00F43883" w:rsidP="003E4C24">
            <w:pPr>
              <w:rPr>
                <w:color w:val="153D63" w:themeColor="text2" w:themeTint="E6"/>
              </w:rPr>
            </w:pPr>
            <w:r>
              <w:rPr>
                <w:color w:val="153D63" w:themeColor="text2" w:themeTint="E6"/>
              </w:rPr>
              <w:t>Resource Accreditation</w:t>
            </w:r>
          </w:p>
        </w:tc>
        <w:tc>
          <w:tcPr>
            <w:tcW w:w="3117" w:type="dxa"/>
            <w:gridSpan w:val="2"/>
          </w:tcPr>
          <w:p w14:paraId="554E1B70" w14:textId="62A959DC" w:rsidR="00454D51" w:rsidRDefault="00C1275B" w:rsidP="003E4C24">
            <w:pPr>
              <w:rPr>
                <w:color w:val="153D63" w:themeColor="text2" w:themeTint="E6"/>
              </w:rPr>
            </w:pPr>
            <w:r>
              <w:rPr>
                <w:b/>
                <w:bCs/>
                <w:color w:val="153D63" w:themeColor="text2" w:themeTint="E6"/>
              </w:rPr>
              <w:t>Tariff</w:t>
            </w:r>
            <w:r w:rsidR="00454D51" w:rsidRPr="004E4785">
              <w:rPr>
                <w:b/>
                <w:bCs/>
                <w:color w:val="153D63" w:themeColor="text2" w:themeTint="E6"/>
              </w:rPr>
              <w:t xml:space="preserve"> Change</w:t>
            </w:r>
            <w:r w:rsidR="00454D51" w:rsidRPr="00FD78B3">
              <w:rPr>
                <w:color w:val="153D63" w:themeColor="text2" w:themeTint="E6"/>
              </w:rPr>
              <w:t>:</w:t>
            </w:r>
            <w:r w:rsidR="00454D51">
              <w:rPr>
                <w:color w:val="153D63" w:themeColor="text2" w:themeTint="E6"/>
              </w:rPr>
              <w:t xml:space="preserve"> </w:t>
            </w:r>
          </w:p>
          <w:p w14:paraId="307F8156" w14:textId="2D74E6DE" w:rsidR="00454D51" w:rsidRPr="00FD78B3" w:rsidRDefault="005A2A17" w:rsidP="003E4C24">
            <w:pPr>
              <w:rPr>
                <w:color w:val="153D63" w:themeColor="text2" w:themeTint="E6"/>
              </w:rPr>
            </w:pPr>
            <w:r>
              <w:rPr>
                <w:color w:val="153D63" w:themeColor="text2" w:themeTint="E6"/>
              </w:rPr>
              <w:t>No</w:t>
            </w:r>
          </w:p>
        </w:tc>
        <w:tc>
          <w:tcPr>
            <w:tcW w:w="3117" w:type="dxa"/>
          </w:tcPr>
          <w:p w14:paraId="26919E6E" w14:textId="77777777" w:rsidR="00454D51" w:rsidRDefault="00454D51" w:rsidP="003E4C24">
            <w:pPr>
              <w:rPr>
                <w:b/>
                <w:bCs/>
                <w:color w:val="153D63" w:themeColor="text2" w:themeTint="E6"/>
              </w:rPr>
            </w:pPr>
            <w:r w:rsidRPr="004E4785">
              <w:rPr>
                <w:b/>
                <w:bCs/>
                <w:color w:val="153D63" w:themeColor="text2" w:themeTint="E6"/>
              </w:rPr>
              <w:t>Time Score:</w:t>
            </w:r>
          </w:p>
          <w:p w14:paraId="3B77A1CD" w14:textId="22F698E4" w:rsidR="00454D51" w:rsidRPr="004E4785" w:rsidRDefault="005A2A17" w:rsidP="003E4C24">
            <w:pPr>
              <w:rPr>
                <w:color w:val="153D63" w:themeColor="text2" w:themeTint="E6"/>
              </w:rPr>
            </w:pPr>
            <w:r>
              <w:rPr>
                <w:color w:val="153D63" w:themeColor="text2" w:themeTint="E6"/>
              </w:rPr>
              <w:t>Long</w:t>
            </w:r>
          </w:p>
        </w:tc>
      </w:tr>
      <w:tr w:rsidR="00454D51" w14:paraId="45658130" w14:textId="77777777" w:rsidTr="003E4C24">
        <w:tc>
          <w:tcPr>
            <w:tcW w:w="4675" w:type="dxa"/>
            <w:gridSpan w:val="2"/>
          </w:tcPr>
          <w:p w14:paraId="11FED1C6" w14:textId="57C8EDC5" w:rsidR="00454D51" w:rsidRDefault="00454D51" w:rsidP="003E4C24">
            <w:r w:rsidRPr="00016218">
              <w:rPr>
                <w:b/>
                <w:bCs/>
              </w:rPr>
              <w:t>Lead Sponsor</w:t>
            </w:r>
            <w:r>
              <w:t xml:space="preserve">: </w:t>
            </w:r>
            <w:r w:rsidR="00C37242">
              <w:t>Nicole Blackwell</w:t>
            </w:r>
          </w:p>
          <w:p w14:paraId="77C25864" w14:textId="0BC6B22C" w:rsidR="00454D51" w:rsidRDefault="00C37242" w:rsidP="003E4C24">
            <w:r>
              <w:t>nblackwell@idahopower.com</w:t>
            </w:r>
          </w:p>
        </w:tc>
        <w:tc>
          <w:tcPr>
            <w:tcW w:w="4675" w:type="dxa"/>
            <w:gridSpan w:val="2"/>
          </w:tcPr>
          <w:p w14:paraId="75C5EEC2" w14:textId="77777777" w:rsidR="00454D51" w:rsidRPr="00651CDC" w:rsidRDefault="00454D51" w:rsidP="003E4C24">
            <w:r>
              <w:rPr>
                <w:b/>
                <w:bCs/>
              </w:rPr>
              <w:t xml:space="preserve">Co-Sponsor: </w:t>
            </w:r>
          </w:p>
        </w:tc>
      </w:tr>
      <w:tr w:rsidR="00454D51" w14:paraId="14C8D64C" w14:textId="77777777" w:rsidTr="003E4C24">
        <w:tc>
          <w:tcPr>
            <w:tcW w:w="9350" w:type="dxa"/>
            <w:gridSpan w:val="4"/>
          </w:tcPr>
          <w:p w14:paraId="6219D9E3" w14:textId="4E80C6A5" w:rsidR="00454D51" w:rsidRPr="00C329E4" w:rsidRDefault="00454D51" w:rsidP="003E4C24">
            <w:r w:rsidRPr="00F64D69">
              <w:rPr>
                <w:b/>
                <w:bCs/>
              </w:rPr>
              <w:t>Summary</w:t>
            </w:r>
            <w:r>
              <w:t xml:space="preserve">: </w:t>
            </w:r>
            <w:r w:rsidR="007C3698">
              <w:t>Qualifying Contracts</w:t>
            </w:r>
          </w:p>
        </w:tc>
      </w:tr>
      <w:tr w:rsidR="00454D51" w14:paraId="4B6F160E" w14:textId="77777777" w:rsidTr="003E4C24">
        <w:tc>
          <w:tcPr>
            <w:tcW w:w="9350" w:type="dxa"/>
            <w:gridSpan w:val="4"/>
          </w:tcPr>
          <w:p w14:paraId="7FB7A42E" w14:textId="77777777" w:rsidR="007C3698" w:rsidRDefault="00454D51" w:rsidP="007C3698">
            <w:pPr>
              <w:rPr>
                <w:b/>
                <w:bCs/>
              </w:rPr>
            </w:pPr>
            <w:r>
              <w:rPr>
                <w:b/>
                <w:bCs/>
              </w:rPr>
              <w:t>Description of the issue:</w:t>
            </w:r>
          </w:p>
          <w:p w14:paraId="06F5537F" w14:textId="25EFE883" w:rsidR="007C3698" w:rsidRPr="007C3698" w:rsidRDefault="007C3698" w:rsidP="007C3698">
            <w:r w:rsidRPr="007C3698">
              <w:t>Idaho Power appreciates the transition plan that participants developed and the flexibility that it contains to allow participants to achieve compliance over a phased approach as resources are built and bilateral market products develop that support WRAP compliance.  Idaho Power would like to explore concepts around WRAP-compliant market purchase products and options if such products are not available and there is insufficient time to pursue building a resource instead, even after the transition period is over and the program is in the fully-binding phase. </w:t>
            </w:r>
          </w:p>
          <w:p w14:paraId="1CC4B7E9" w14:textId="77777777" w:rsidR="007C3698" w:rsidRPr="007C3698" w:rsidRDefault="007C3698" w:rsidP="007C3698"/>
          <w:p w14:paraId="77D1EC9C" w14:textId="657DFE0E" w:rsidR="00454D51" w:rsidRPr="007C3698" w:rsidRDefault="007C3698" w:rsidP="003E4C24">
            <w:pPr>
              <w:rPr>
                <w:b/>
                <w:bCs/>
              </w:rPr>
            </w:pPr>
            <w:r w:rsidRPr="007C3698">
              <w:t>Idaho Power is also possibly interested in a renewed detailed review of the requirements for qualifying contracts, including in BPM 106, and to the extent necessary, BPM 105, to ensure WRAP participants have a common understanding of the requirements for qualifying contracts, and to consider whether changes to BPM 106 or the tariff could be appropriate to reflect participants’ intent, provide additional clarity, or resolve outstanding questions or inconsistencies.</w:t>
            </w:r>
            <w:r w:rsidRPr="007C3698">
              <w:rPr>
                <w:b/>
                <w:bCs/>
              </w:rPr>
              <w:t> </w:t>
            </w:r>
          </w:p>
        </w:tc>
      </w:tr>
      <w:tr w:rsidR="00454D51" w14:paraId="3E6749AC" w14:textId="77777777" w:rsidTr="003E4C24">
        <w:tc>
          <w:tcPr>
            <w:tcW w:w="9350" w:type="dxa"/>
            <w:gridSpan w:val="4"/>
          </w:tcPr>
          <w:p w14:paraId="7FADFAD0" w14:textId="77777777" w:rsidR="00454D51" w:rsidRPr="006008A2" w:rsidRDefault="00454D51" w:rsidP="003E4C24">
            <w:r>
              <w:rPr>
                <w:b/>
                <w:bCs/>
              </w:rPr>
              <w:t xml:space="preserve">Proposed solution to the issue described: </w:t>
            </w:r>
          </w:p>
          <w:p w14:paraId="507BF4B3" w14:textId="2D885519" w:rsidR="00454D51" w:rsidRPr="00AB7637" w:rsidRDefault="007C3698" w:rsidP="003E4C24">
            <w:r>
              <w:t>-</w:t>
            </w:r>
          </w:p>
        </w:tc>
      </w:tr>
      <w:tr w:rsidR="00454D51" w14:paraId="17BB2C79" w14:textId="77777777" w:rsidTr="003E4C24">
        <w:tc>
          <w:tcPr>
            <w:tcW w:w="9350" w:type="dxa"/>
            <w:gridSpan w:val="4"/>
          </w:tcPr>
          <w:p w14:paraId="1B8232BD" w14:textId="77777777" w:rsidR="00454D51" w:rsidRDefault="00454D51" w:rsidP="003E4C24">
            <w:pPr>
              <w:rPr>
                <w:b/>
                <w:bCs/>
              </w:rPr>
            </w:pPr>
            <w:r>
              <w:rPr>
                <w:b/>
                <w:bCs/>
              </w:rPr>
              <w:t>Specific document and language you would like changed:</w:t>
            </w:r>
          </w:p>
          <w:p w14:paraId="6CE13BAC" w14:textId="62357D24" w:rsidR="00454D51" w:rsidRPr="003E595A" w:rsidRDefault="007C3698" w:rsidP="003E4C24">
            <w:r>
              <w:t>-</w:t>
            </w:r>
          </w:p>
        </w:tc>
      </w:tr>
      <w:tr w:rsidR="00454D51" w14:paraId="792C3F19" w14:textId="77777777" w:rsidTr="003E4C24">
        <w:tc>
          <w:tcPr>
            <w:tcW w:w="9350" w:type="dxa"/>
            <w:gridSpan w:val="4"/>
          </w:tcPr>
          <w:p w14:paraId="02A5E285" w14:textId="77777777" w:rsidR="00454D51" w:rsidRDefault="00454D51" w:rsidP="003E4C24">
            <w:pPr>
              <w:rPr>
                <w:b/>
                <w:bCs/>
              </w:rPr>
            </w:pPr>
            <w:r>
              <w:rPr>
                <w:b/>
                <w:bCs/>
              </w:rPr>
              <w:t xml:space="preserve">Suggestion for how language could be updated to address </w:t>
            </w:r>
            <w:proofErr w:type="gramStart"/>
            <w:r>
              <w:rPr>
                <w:b/>
                <w:bCs/>
              </w:rPr>
              <w:t>issue</w:t>
            </w:r>
            <w:proofErr w:type="gramEnd"/>
            <w:r>
              <w:rPr>
                <w:b/>
                <w:bCs/>
              </w:rPr>
              <w:t>:</w:t>
            </w:r>
          </w:p>
          <w:p w14:paraId="30EFC383" w14:textId="390EBED9" w:rsidR="00454D51" w:rsidRPr="004A50B4" w:rsidRDefault="007C3698" w:rsidP="003E4C24">
            <w:r>
              <w:t>-</w:t>
            </w:r>
          </w:p>
        </w:tc>
      </w:tr>
      <w:tr w:rsidR="00454D51" w14:paraId="58A5CFBD" w14:textId="77777777" w:rsidTr="003E4C24">
        <w:tc>
          <w:tcPr>
            <w:tcW w:w="9350" w:type="dxa"/>
            <w:gridSpan w:val="4"/>
          </w:tcPr>
          <w:p w14:paraId="317D9001" w14:textId="77777777" w:rsidR="00454D51" w:rsidRDefault="00454D51" w:rsidP="003E4C24">
            <w:r>
              <w:rPr>
                <w:b/>
                <w:bCs/>
              </w:rPr>
              <w:t>Describe the benefits that will be realized from this change:</w:t>
            </w:r>
          </w:p>
          <w:p w14:paraId="390A3BD3" w14:textId="05BC4C79" w:rsidR="00454D51" w:rsidRPr="00A5483E" w:rsidRDefault="007C3698" w:rsidP="003E4C24">
            <w:r>
              <w:t>-</w:t>
            </w:r>
          </w:p>
        </w:tc>
      </w:tr>
      <w:tr w:rsidR="00454D51" w14:paraId="4D9FE0C9" w14:textId="77777777" w:rsidTr="003E4C24">
        <w:tc>
          <w:tcPr>
            <w:tcW w:w="9350" w:type="dxa"/>
            <w:gridSpan w:val="4"/>
          </w:tcPr>
          <w:p w14:paraId="6C1F6770" w14:textId="77777777" w:rsidR="00454D51" w:rsidRDefault="00454D51" w:rsidP="003E4C24">
            <w:pPr>
              <w:rPr>
                <w:b/>
                <w:bCs/>
              </w:rPr>
            </w:pPr>
            <w:r>
              <w:rPr>
                <w:b/>
                <w:bCs/>
              </w:rPr>
              <w:t>Any data/information that would characterize the importance of the issue:</w:t>
            </w:r>
          </w:p>
          <w:p w14:paraId="0BD03578" w14:textId="23CE75EE" w:rsidR="00454D51" w:rsidRPr="00324C95" w:rsidRDefault="007C3698" w:rsidP="003E4C24">
            <w:r>
              <w:t>-</w:t>
            </w:r>
          </w:p>
        </w:tc>
      </w:tr>
    </w:tbl>
    <w:p w14:paraId="49BE82CC" w14:textId="77777777" w:rsidR="00AA515E" w:rsidRDefault="00AA515E">
      <w:pPr>
        <w:rPr>
          <w:rFonts w:eastAsiaTheme="majorEastAsia"/>
        </w:rPr>
      </w:pPr>
      <w:r>
        <w:rPr>
          <w:rFonts w:eastAsiaTheme="majorEastAsia"/>
        </w:rPr>
        <w:br w:type="page"/>
      </w:r>
    </w:p>
    <w:tbl>
      <w:tblPr>
        <w:tblStyle w:val="TableGrid"/>
        <w:tblW w:w="0" w:type="auto"/>
        <w:tblLook w:val="04A0" w:firstRow="1" w:lastRow="0" w:firstColumn="1" w:lastColumn="0" w:noHBand="0" w:noVBand="1"/>
      </w:tblPr>
      <w:tblGrid>
        <w:gridCol w:w="3116"/>
        <w:gridCol w:w="1559"/>
        <w:gridCol w:w="1558"/>
        <w:gridCol w:w="3117"/>
      </w:tblGrid>
      <w:tr w:rsidR="00AA515E" w14:paraId="790AAE8E" w14:textId="77777777" w:rsidTr="003E4C24">
        <w:tc>
          <w:tcPr>
            <w:tcW w:w="9350" w:type="dxa"/>
            <w:gridSpan w:val="4"/>
          </w:tcPr>
          <w:p w14:paraId="2CACB78F" w14:textId="55333F22" w:rsidR="00AA515E" w:rsidRDefault="00AA515E" w:rsidP="003E4C24">
            <w:pPr>
              <w:pStyle w:val="Heading1"/>
            </w:pPr>
            <w:bookmarkStart w:id="69" w:name="_Toc189746911"/>
            <w:bookmarkStart w:id="70" w:name="_Toc189840337"/>
            <w:r>
              <w:lastRenderedPageBreak/>
              <w:t>2024-CRF-02</w:t>
            </w:r>
            <w:r w:rsidR="00443B53">
              <w:t>6</w:t>
            </w:r>
            <w:r>
              <w:t xml:space="preserve"> / </w:t>
            </w:r>
            <w:r w:rsidR="00443B53">
              <w:t>Form Energy</w:t>
            </w:r>
            <w:r>
              <w:t xml:space="preserve"> / </w:t>
            </w:r>
            <w:r w:rsidR="00443B53">
              <w:t>Indicative QCCs</w:t>
            </w:r>
            <w:bookmarkEnd w:id="69"/>
            <w:bookmarkEnd w:id="70"/>
          </w:p>
        </w:tc>
      </w:tr>
      <w:tr w:rsidR="00AA515E" w14:paraId="2E661CBD" w14:textId="77777777" w:rsidTr="003E4C24">
        <w:tc>
          <w:tcPr>
            <w:tcW w:w="3116" w:type="dxa"/>
          </w:tcPr>
          <w:p w14:paraId="29D773F9" w14:textId="77777777" w:rsidR="00AA515E" w:rsidRPr="00FD78B3" w:rsidRDefault="00AA515E" w:rsidP="003E4C24">
            <w:pPr>
              <w:rPr>
                <w:b/>
                <w:bCs/>
                <w:color w:val="153D63" w:themeColor="text2" w:themeTint="E6"/>
              </w:rPr>
            </w:pPr>
            <w:r w:rsidRPr="00FD78B3">
              <w:rPr>
                <w:b/>
                <w:bCs/>
                <w:color w:val="153D63" w:themeColor="text2" w:themeTint="E6"/>
              </w:rPr>
              <w:t xml:space="preserve">WRAP Area: </w:t>
            </w:r>
          </w:p>
          <w:p w14:paraId="4988F0FF" w14:textId="6E91A70B" w:rsidR="00AA515E" w:rsidRPr="00FD78B3" w:rsidRDefault="00F43883" w:rsidP="003E4C24">
            <w:pPr>
              <w:rPr>
                <w:color w:val="153D63" w:themeColor="text2" w:themeTint="E6"/>
              </w:rPr>
            </w:pPr>
            <w:r>
              <w:rPr>
                <w:color w:val="153D63" w:themeColor="text2" w:themeTint="E6"/>
              </w:rPr>
              <w:t>Resource Accreditation</w:t>
            </w:r>
          </w:p>
        </w:tc>
        <w:tc>
          <w:tcPr>
            <w:tcW w:w="3117" w:type="dxa"/>
            <w:gridSpan w:val="2"/>
          </w:tcPr>
          <w:p w14:paraId="259242CD" w14:textId="2CC8B548" w:rsidR="00AA515E" w:rsidRDefault="00C1275B" w:rsidP="003E4C24">
            <w:pPr>
              <w:rPr>
                <w:color w:val="153D63" w:themeColor="text2" w:themeTint="E6"/>
              </w:rPr>
            </w:pPr>
            <w:r>
              <w:rPr>
                <w:b/>
                <w:bCs/>
                <w:color w:val="153D63" w:themeColor="text2" w:themeTint="E6"/>
              </w:rPr>
              <w:t>Tariff</w:t>
            </w:r>
            <w:r w:rsidR="00AA515E" w:rsidRPr="004E4785">
              <w:rPr>
                <w:b/>
                <w:bCs/>
                <w:color w:val="153D63" w:themeColor="text2" w:themeTint="E6"/>
              </w:rPr>
              <w:t xml:space="preserve"> Change</w:t>
            </w:r>
            <w:r w:rsidR="00AA515E" w:rsidRPr="00FD78B3">
              <w:rPr>
                <w:color w:val="153D63" w:themeColor="text2" w:themeTint="E6"/>
              </w:rPr>
              <w:t>:</w:t>
            </w:r>
            <w:r w:rsidR="00AA515E">
              <w:rPr>
                <w:color w:val="153D63" w:themeColor="text2" w:themeTint="E6"/>
              </w:rPr>
              <w:t xml:space="preserve"> </w:t>
            </w:r>
          </w:p>
          <w:p w14:paraId="771975FB" w14:textId="7BD9FF33" w:rsidR="00AA515E" w:rsidRPr="00FD78B3" w:rsidRDefault="00C80F32" w:rsidP="00C80F32">
            <w:pPr>
              <w:rPr>
                <w:color w:val="153D63" w:themeColor="text2" w:themeTint="E6"/>
              </w:rPr>
            </w:pPr>
            <w:r>
              <w:rPr>
                <w:color w:val="153D63" w:themeColor="text2" w:themeTint="E6"/>
              </w:rPr>
              <w:t>Yes</w:t>
            </w:r>
          </w:p>
        </w:tc>
        <w:tc>
          <w:tcPr>
            <w:tcW w:w="3117" w:type="dxa"/>
          </w:tcPr>
          <w:p w14:paraId="26D01146" w14:textId="77777777" w:rsidR="00AA515E" w:rsidRDefault="00AA515E" w:rsidP="003E4C24">
            <w:pPr>
              <w:rPr>
                <w:b/>
                <w:bCs/>
                <w:color w:val="153D63" w:themeColor="text2" w:themeTint="E6"/>
              </w:rPr>
            </w:pPr>
            <w:r w:rsidRPr="004E4785">
              <w:rPr>
                <w:b/>
                <w:bCs/>
                <w:color w:val="153D63" w:themeColor="text2" w:themeTint="E6"/>
              </w:rPr>
              <w:t>Time Score:</w:t>
            </w:r>
          </w:p>
          <w:p w14:paraId="17338446" w14:textId="2B96A2E9" w:rsidR="00AA515E" w:rsidRPr="004E4785" w:rsidRDefault="00C80F32" w:rsidP="003E4C24">
            <w:pPr>
              <w:rPr>
                <w:color w:val="153D63" w:themeColor="text2" w:themeTint="E6"/>
              </w:rPr>
            </w:pPr>
            <w:r>
              <w:rPr>
                <w:color w:val="153D63" w:themeColor="text2" w:themeTint="E6"/>
              </w:rPr>
              <w:t>Medium</w:t>
            </w:r>
          </w:p>
        </w:tc>
      </w:tr>
      <w:tr w:rsidR="00AA515E" w14:paraId="191614E3" w14:textId="77777777" w:rsidTr="003E4C24">
        <w:tc>
          <w:tcPr>
            <w:tcW w:w="4675" w:type="dxa"/>
            <w:gridSpan w:val="2"/>
          </w:tcPr>
          <w:p w14:paraId="67846A33" w14:textId="63ADC4CA" w:rsidR="00C80F32" w:rsidRDefault="00AA515E" w:rsidP="003E4C24">
            <w:r w:rsidRPr="00016218">
              <w:rPr>
                <w:b/>
                <w:bCs/>
              </w:rPr>
              <w:t>Lead Sponsor</w:t>
            </w:r>
            <w:r>
              <w:t>:</w:t>
            </w:r>
            <w:r w:rsidR="00C80F32">
              <w:t xml:space="preserve"> Mark Thompson</w:t>
            </w:r>
          </w:p>
          <w:p w14:paraId="4A63B8F3" w14:textId="2E6D818B" w:rsidR="00AA515E" w:rsidRDefault="00B44C97" w:rsidP="003E4C24">
            <w:r>
              <w:t>mthompson@formenergy.com</w:t>
            </w:r>
          </w:p>
        </w:tc>
        <w:tc>
          <w:tcPr>
            <w:tcW w:w="4675" w:type="dxa"/>
            <w:gridSpan w:val="2"/>
          </w:tcPr>
          <w:p w14:paraId="6EBB0E07" w14:textId="77777777" w:rsidR="00AA515E" w:rsidRPr="00651CDC" w:rsidRDefault="00AA515E" w:rsidP="003E4C24">
            <w:r>
              <w:rPr>
                <w:b/>
                <w:bCs/>
              </w:rPr>
              <w:t xml:space="preserve">Co-Sponsor: </w:t>
            </w:r>
          </w:p>
        </w:tc>
      </w:tr>
      <w:tr w:rsidR="00AA515E" w14:paraId="568111CE" w14:textId="77777777" w:rsidTr="003E4C24">
        <w:tc>
          <w:tcPr>
            <w:tcW w:w="9350" w:type="dxa"/>
            <w:gridSpan w:val="4"/>
          </w:tcPr>
          <w:p w14:paraId="7F2C0321" w14:textId="2C7C7B59" w:rsidR="00AA515E" w:rsidRPr="00C329E4" w:rsidRDefault="00AA515E" w:rsidP="003E4C24">
            <w:r w:rsidRPr="00F64D69">
              <w:rPr>
                <w:b/>
                <w:bCs/>
              </w:rPr>
              <w:t>Summary</w:t>
            </w:r>
            <w:r>
              <w:t xml:space="preserve">: </w:t>
            </w:r>
            <w:r w:rsidR="00B44C97" w:rsidRPr="00B44C97">
              <w:t>Establish a process for providing indicative accreditations to new resource types</w:t>
            </w:r>
            <w:r w:rsidR="00B44C97">
              <w:t>.</w:t>
            </w:r>
          </w:p>
        </w:tc>
      </w:tr>
      <w:tr w:rsidR="00AA515E" w14:paraId="5F244283" w14:textId="77777777" w:rsidTr="003E4C24">
        <w:tc>
          <w:tcPr>
            <w:tcW w:w="9350" w:type="dxa"/>
            <w:gridSpan w:val="4"/>
          </w:tcPr>
          <w:p w14:paraId="6FDAF14F" w14:textId="77777777" w:rsidR="00AA515E" w:rsidRDefault="00AA515E" w:rsidP="003E4C24">
            <w:pPr>
              <w:rPr>
                <w:b/>
                <w:bCs/>
              </w:rPr>
            </w:pPr>
            <w:r>
              <w:rPr>
                <w:b/>
                <w:bCs/>
              </w:rPr>
              <w:t xml:space="preserve">Description of the issue: </w:t>
            </w:r>
          </w:p>
          <w:p w14:paraId="1F89C421" w14:textId="268F681F" w:rsidR="00B44C97" w:rsidRPr="00B44C97" w:rsidRDefault="00B44C97" w:rsidP="00B44C97">
            <w:r w:rsidRPr="00B44C97">
              <w:t>As utilities determine optimal resources to add to their portfolio to ensure reliability, affordability, and to serve loads in accordance with state policies, it seems likely that emerging resource technologies will be considered.  This could include geothermal, hydrogen, long-duration energy storage, multi-day energy storage, or a variety of other technologies.  The ability of such resources to bolster resource adequacy, and to count toward compliance with required resource adequacy showings under the WRAP is a significant portion of the value of such resources to utilities.</w:t>
            </w:r>
          </w:p>
          <w:p w14:paraId="74B8971F" w14:textId="77777777" w:rsidR="00B44C97" w:rsidRDefault="00B44C97" w:rsidP="00B44C97"/>
          <w:p w14:paraId="3094FFC0" w14:textId="6B7330E2" w:rsidR="00B44C97" w:rsidRPr="006008A2" w:rsidRDefault="00B44C97" w:rsidP="003E4C24">
            <w:r w:rsidRPr="00B44C97">
              <w:t>Under the current WRAP practices, it appears that resource types will not be accredited (i.e. receive a QCC value) until a participant utility shows it owns or has contracted for the resource.  (See BPM 105, Section 3.1).  With respect to emerging resource technologies, this means that the QCC value of the resource, an important piece of the value of the resource to the utility, cannot be known until the resource has been acquired.  And, because the resource is an emerging technology, there may be heightened uncertainty about how an accreditation for a QCC will play out.  In short, the accreditation process for emerging resource technologies may lead to a “chicken and egg” scenario, where utilities are hesitant to acquire emerging resources before knowing their QCC, and yet they will not know their QCC until they have acquired the resources.  Even though many emerging technologies are focused on trying to solve future challenges of the grid (including resource adequacy and reliability), this conundrum could lead to a situation where beneficial new technologies are not brought to the region’s grid or, at the least, such progress may be unnecessarily slowed.</w:t>
            </w:r>
          </w:p>
        </w:tc>
      </w:tr>
      <w:tr w:rsidR="00AA515E" w14:paraId="79113058" w14:textId="77777777" w:rsidTr="003E4C24">
        <w:tc>
          <w:tcPr>
            <w:tcW w:w="9350" w:type="dxa"/>
            <w:gridSpan w:val="4"/>
          </w:tcPr>
          <w:p w14:paraId="0D188CA9" w14:textId="77777777" w:rsidR="00AA515E" w:rsidRPr="006008A2" w:rsidRDefault="00AA515E" w:rsidP="003E4C24">
            <w:r>
              <w:rPr>
                <w:b/>
                <w:bCs/>
              </w:rPr>
              <w:t xml:space="preserve">Proposed solution to the issue described: </w:t>
            </w:r>
          </w:p>
          <w:p w14:paraId="01D8E68C" w14:textId="6916444F" w:rsidR="00AA515E" w:rsidRPr="00AB7637" w:rsidRDefault="001250A9" w:rsidP="003E4C24">
            <w:r w:rsidRPr="001250A9">
              <w:t xml:space="preserve">The WRAP could include a process for emerging resources to be given an “indicative accreditation.”  Such an accreditation could be provided for emerging technologies </w:t>
            </w:r>
            <w:proofErr w:type="gramStart"/>
            <w:r w:rsidRPr="001250A9">
              <w:t>where</w:t>
            </w:r>
            <w:proofErr w:type="gramEnd"/>
            <w:r w:rsidRPr="001250A9">
              <w:t xml:space="preserve"> requested by a participant utility, or some number of participants or stakeholders.  This indicative accreditation would give participant utilities guidance about the resource adequacy value that would be expected from a resource, which could assist them in evaluating the overall business case for emerging technologies.  </w:t>
            </w:r>
            <w:proofErr w:type="gramStart"/>
            <w:r w:rsidRPr="001250A9">
              <w:t>In order to</w:t>
            </w:r>
            <w:proofErr w:type="gramEnd"/>
            <w:r w:rsidRPr="001250A9">
              <w:t xml:space="preserve"> receive an indicative value, a utility would not have to show ownership or rights to the resource.</w:t>
            </w:r>
          </w:p>
        </w:tc>
      </w:tr>
      <w:tr w:rsidR="00AA515E" w14:paraId="614BD101" w14:textId="77777777" w:rsidTr="003E4C24">
        <w:tc>
          <w:tcPr>
            <w:tcW w:w="9350" w:type="dxa"/>
            <w:gridSpan w:val="4"/>
          </w:tcPr>
          <w:p w14:paraId="2378959C" w14:textId="77777777" w:rsidR="00AA515E" w:rsidRDefault="00AA515E" w:rsidP="003E4C24">
            <w:pPr>
              <w:rPr>
                <w:b/>
                <w:bCs/>
              </w:rPr>
            </w:pPr>
            <w:r>
              <w:rPr>
                <w:b/>
                <w:bCs/>
              </w:rPr>
              <w:t>Specific document and language you would like changed:</w:t>
            </w:r>
          </w:p>
          <w:p w14:paraId="641052F8" w14:textId="559EBA35" w:rsidR="00AA515E" w:rsidRPr="003E595A" w:rsidRDefault="001250A9" w:rsidP="003E4C24">
            <w:r w:rsidRPr="001250A9">
              <w:lastRenderedPageBreak/>
              <w:t xml:space="preserve">Section 3.1 of BPM 105 sets forth the process by which resource registration </w:t>
            </w:r>
            <w:proofErr w:type="gramStart"/>
            <w:r w:rsidRPr="001250A9">
              <w:t>occurs, and</w:t>
            </w:r>
            <w:proofErr w:type="gramEnd"/>
            <w:r w:rsidRPr="001250A9">
              <w:t xml:space="preserve"> describes how that leads to an accreditation under the WRAP.  This language could be modified to describe that emerging technologies are able to receive an indicative accreditation.  </w:t>
            </w:r>
            <w:proofErr w:type="gramStart"/>
            <w:r w:rsidRPr="001250A9">
              <w:t>Or,</w:t>
            </w:r>
            <w:proofErr w:type="gramEnd"/>
            <w:r w:rsidRPr="001250A9">
              <w:t xml:space="preserve"> it could refer to a new subsection that describes the process for </w:t>
            </w:r>
            <w:proofErr w:type="gramStart"/>
            <w:r w:rsidRPr="001250A9">
              <w:t>an indicative</w:t>
            </w:r>
            <w:proofErr w:type="gramEnd"/>
            <w:r w:rsidRPr="001250A9">
              <w:t xml:space="preserve"> accreditation.</w:t>
            </w:r>
          </w:p>
        </w:tc>
      </w:tr>
      <w:tr w:rsidR="00AA515E" w14:paraId="6CC0D194" w14:textId="77777777" w:rsidTr="003E4C24">
        <w:tc>
          <w:tcPr>
            <w:tcW w:w="9350" w:type="dxa"/>
            <w:gridSpan w:val="4"/>
          </w:tcPr>
          <w:p w14:paraId="349DF632" w14:textId="77777777" w:rsidR="00AA515E" w:rsidRDefault="00AA515E" w:rsidP="003E4C24">
            <w:pPr>
              <w:rPr>
                <w:b/>
                <w:bCs/>
              </w:rPr>
            </w:pPr>
            <w:r>
              <w:rPr>
                <w:b/>
                <w:bCs/>
              </w:rPr>
              <w:lastRenderedPageBreak/>
              <w:t xml:space="preserve">Suggestion for how language could be updated to address </w:t>
            </w:r>
            <w:proofErr w:type="gramStart"/>
            <w:r>
              <w:rPr>
                <w:b/>
                <w:bCs/>
              </w:rPr>
              <w:t>issue</w:t>
            </w:r>
            <w:proofErr w:type="gramEnd"/>
            <w:r>
              <w:rPr>
                <w:b/>
                <w:bCs/>
              </w:rPr>
              <w:t>:</w:t>
            </w:r>
          </w:p>
          <w:p w14:paraId="06A9DBFB" w14:textId="7603D9C2" w:rsidR="001250A9" w:rsidRPr="001250A9" w:rsidRDefault="001250A9" w:rsidP="001250A9">
            <w:r w:rsidRPr="001250A9">
              <w:t>Section 3.1 could be modified to say, after the first full paragraph, “A Participant may request that a resource receive an indicative accreditation in order to give more clarity to the expected accreditation, or a range of potential accreditations, that such a resource would receive under the program, upon a showing that the resource is an emerging technology, for which the QCC value may be unclear. An indicative accreditation will be provided in accordance with subsection XX.XX.”</w:t>
            </w:r>
          </w:p>
          <w:p w14:paraId="3D68E56E" w14:textId="77777777" w:rsidR="001250A9" w:rsidRPr="001250A9" w:rsidRDefault="001250A9" w:rsidP="001250A9">
            <w:r w:rsidRPr="001250A9">
              <w:t>A new section could then describe the process and conditions for receiving an indicative accreditation.  This description could include:</w:t>
            </w:r>
          </w:p>
          <w:p w14:paraId="7C367E1B" w14:textId="77777777" w:rsidR="001250A9" w:rsidRPr="001250A9" w:rsidRDefault="001250A9" w:rsidP="006247A6">
            <w:pPr>
              <w:numPr>
                <w:ilvl w:val="0"/>
                <w:numId w:val="19"/>
              </w:numPr>
            </w:pPr>
            <w:r w:rsidRPr="001250A9">
              <w:t xml:space="preserve">Requiring a description of why </w:t>
            </w:r>
            <w:proofErr w:type="gramStart"/>
            <w:r w:rsidRPr="001250A9">
              <w:t>an indicative</w:t>
            </w:r>
            <w:proofErr w:type="gramEnd"/>
            <w:r w:rsidRPr="001250A9">
              <w:t xml:space="preserve"> accreditation is appropriate and </w:t>
            </w:r>
            <w:proofErr w:type="gramStart"/>
            <w:r w:rsidRPr="001250A9">
              <w:t>beneficial;</w:t>
            </w:r>
            <w:proofErr w:type="gramEnd"/>
          </w:p>
          <w:p w14:paraId="5190C725" w14:textId="77777777" w:rsidR="001250A9" w:rsidRPr="001250A9" w:rsidRDefault="001250A9" w:rsidP="006247A6">
            <w:pPr>
              <w:numPr>
                <w:ilvl w:val="0"/>
                <w:numId w:val="19"/>
              </w:numPr>
            </w:pPr>
            <w:r w:rsidRPr="001250A9">
              <w:t xml:space="preserve">A requirement to provide available information about the resource to allow for a reasonable assessment, along the lines of the information provided for resources that are owned or </w:t>
            </w:r>
            <w:proofErr w:type="gramStart"/>
            <w:r w:rsidRPr="001250A9">
              <w:t>contracted;</w:t>
            </w:r>
            <w:proofErr w:type="gramEnd"/>
            <w:r w:rsidRPr="001250A9">
              <w:t> </w:t>
            </w:r>
          </w:p>
          <w:p w14:paraId="3A34C1AA" w14:textId="77777777" w:rsidR="001250A9" w:rsidRPr="001250A9" w:rsidRDefault="001250A9" w:rsidP="006247A6">
            <w:pPr>
              <w:numPr>
                <w:ilvl w:val="0"/>
                <w:numId w:val="19"/>
              </w:numPr>
            </w:pPr>
            <w:r w:rsidRPr="001250A9">
              <w:t>The conditions under which an indicative accreditation will be granted; and</w:t>
            </w:r>
          </w:p>
          <w:p w14:paraId="2AFAA60C" w14:textId="1E57E5B1" w:rsidR="00AA515E" w:rsidRPr="004A50B4" w:rsidRDefault="001250A9" w:rsidP="006247A6">
            <w:pPr>
              <w:numPr>
                <w:ilvl w:val="0"/>
                <w:numId w:val="19"/>
              </w:numPr>
            </w:pPr>
            <w:r w:rsidRPr="001250A9">
              <w:t xml:space="preserve">An explanation that the accreditation is indicative </w:t>
            </w:r>
            <w:proofErr w:type="gramStart"/>
            <w:r w:rsidRPr="001250A9">
              <w:t>only, and</w:t>
            </w:r>
            <w:proofErr w:type="gramEnd"/>
            <w:r w:rsidRPr="001250A9">
              <w:t xml:space="preserve"> not binding or necessarily an accurate assessment of any future accreditation of QCC.    </w:t>
            </w:r>
          </w:p>
        </w:tc>
      </w:tr>
      <w:tr w:rsidR="00AA515E" w14:paraId="6B0A1AEA" w14:textId="77777777" w:rsidTr="003E4C24">
        <w:tc>
          <w:tcPr>
            <w:tcW w:w="9350" w:type="dxa"/>
            <w:gridSpan w:val="4"/>
          </w:tcPr>
          <w:p w14:paraId="3C3515F3" w14:textId="77777777" w:rsidR="00AA515E" w:rsidRDefault="00AA515E" w:rsidP="003E4C24">
            <w:r>
              <w:rPr>
                <w:b/>
                <w:bCs/>
              </w:rPr>
              <w:t>Describe the benefits that will be realized from this change:</w:t>
            </w:r>
          </w:p>
          <w:p w14:paraId="1F26C5F4" w14:textId="10269C2F" w:rsidR="004907ED" w:rsidRPr="004907ED" w:rsidRDefault="004907ED" w:rsidP="006247A6">
            <w:pPr>
              <w:numPr>
                <w:ilvl w:val="0"/>
                <w:numId w:val="20"/>
              </w:numPr>
            </w:pPr>
            <w:r w:rsidRPr="004907ED">
              <w:t xml:space="preserve">An indicative accreditation will allow Participant utilities to better understand the value proposition associated with emerging </w:t>
            </w:r>
            <w:proofErr w:type="gramStart"/>
            <w:r w:rsidRPr="004907ED">
              <w:t>technologies, and</w:t>
            </w:r>
            <w:proofErr w:type="gramEnd"/>
            <w:r w:rsidRPr="004907ED">
              <w:t xml:space="preserve"> would make the process of deploying beneficial new technologies in the region more efficient.  Given that many new emerging technologies are intended to benefit reliability and resource adequacy in new and important ways, this will benefit customers and provide utilities with more clarity around their choices as they evaluate what </w:t>
            </w:r>
            <w:proofErr w:type="gramStart"/>
            <w:r w:rsidRPr="004907ED">
              <w:t>resource</w:t>
            </w:r>
            <w:proofErr w:type="gramEnd"/>
            <w:r w:rsidRPr="004907ED">
              <w:t xml:space="preserve"> to acquire.</w:t>
            </w:r>
          </w:p>
          <w:p w14:paraId="5B97D66E" w14:textId="1302F2C4" w:rsidR="00AA515E" w:rsidRPr="00A5483E" w:rsidRDefault="004907ED" w:rsidP="006247A6">
            <w:pPr>
              <w:numPr>
                <w:ilvl w:val="0"/>
                <w:numId w:val="20"/>
              </w:numPr>
            </w:pPr>
            <w:r w:rsidRPr="004907ED">
              <w:t>Providing an indicative accreditation for emerging technologies will also benefit the WRAP program by allowing a process whereby ambiguities or uncertainties can be worked through prior to the time an actual, final QCC must be determined for new resource types.  </w:t>
            </w:r>
          </w:p>
        </w:tc>
      </w:tr>
      <w:tr w:rsidR="00AA515E" w14:paraId="742369CF" w14:textId="77777777" w:rsidTr="003E4C24">
        <w:tc>
          <w:tcPr>
            <w:tcW w:w="9350" w:type="dxa"/>
            <w:gridSpan w:val="4"/>
          </w:tcPr>
          <w:p w14:paraId="7DB784DB" w14:textId="77777777" w:rsidR="00AA515E" w:rsidRDefault="00AA515E" w:rsidP="003E4C24">
            <w:pPr>
              <w:rPr>
                <w:b/>
                <w:bCs/>
              </w:rPr>
            </w:pPr>
            <w:r>
              <w:rPr>
                <w:b/>
                <w:bCs/>
              </w:rPr>
              <w:t>Any data/information that would characterize the importance of the issue:</w:t>
            </w:r>
          </w:p>
          <w:p w14:paraId="0470BD86" w14:textId="2D13799D" w:rsidR="00AA515E" w:rsidRPr="00324C95" w:rsidRDefault="004907ED" w:rsidP="003E4C24">
            <w:r>
              <w:t>-</w:t>
            </w:r>
          </w:p>
        </w:tc>
      </w:tr>
    </w:tbl>
    <w:p w14:paraId="23385632" w14:textId="77777777" w:rsidR="00AA515E" w:rsidRDefault="00AA515E">
      <w:pPr>
        <w:rPr>
          <w:rFonts w:eastAsiaTheme="majorEastAsia"/>
        </w:rPr>
      </w:pPr>
      <w:r>
        <w:rPr>
          <w:rFonts w:eastAsiaTheme="majorEastAsia"/>
        </w:rPr>
        <w:br w:type="page"/>
      </w:r>
    </w:p>
    <w:tbl>
      <w:tblPr>
        <w:tblStyle w:val="TableGrid"/>
        <w:tblW w:w="0" w:type="auto"/>
        <w:tblLook w:val="04A0" w:firstRow="1" w:lastRow="0" w:firstColumn="1" w:lastColumn="0" w:noHBand="0" w:noVBand="1"/>
      </w:tblPr>
      <w:tblGrid>
        <w:gridCol w:w="4675"/>
        <w:gridCol w:w="2160"/>
        <w:gridCol w:w="2515"/>
      </w:tblGrid>
      <w:tr w:rsidR="00AA515E" w14:paraId="5B100604" w14:textId="77777777" w:rsidTr="003E4C24">
        <w:tc>
          <w:tcPr>
            <w:tcW w:w="9350" w:type="dxa"/>
            <w:gridSpan w:val="3"/>
          </w:tcPr>
          <w:p w14:paraId="434F7A34" w14:textId="63C813A9" w:rsidR="00AA515E" w:rsidRPr="00B16FB4" w:rsidRDefault="00AA515E" w:rsidP="003E4C24">
            <w:pPr>
              <w:pStyle w:val="Heading1"/>
            </w:pPr>
            <w:bookmarkStart w:id="71" w:name="_Toc189746912"/>
            <w:bookmarkStart w:id="72" w:name="_Toc189840338"/>
            <w:r w:rsidRPr="00B16FB4">
              <w:lastRenderedPageBreak/>
              <w:t>2024-CRF-02</w:t>
            </w:r>
            <w:r w:rsidR="0073502B" w:rsidRPr="00B16FB4">
              <w:t>7</w:t>
            </w:r>
            <w:r w:rsidRPr="00B16FB4">
              <w:t xml:space="preserve"> / </w:t>
            </w:r>
            <w:r w:rsidR="0073502B" w:rsidRPr="00B16FB4">
              <w:t>BPA</w:t>
            </w:r>
            <w:r w:rsidRPr="00B16FB4">
              <w:t xml:space="preserve"> / </w:t>
            </w:r>
            <w:r w:rsidR="005C1F93" w:rsidRPr="00B16FB4">
              <w:t xml:space="preserve">Load </w:t>
            </w:r>
            <w:r w:rsidR="009D7AAC">
              <w:t xml:space="preserve">Responsibility </w:t>
            </w:r>
            <w:r w:rsidR="005C1F93" w:rsidRPr="00B16FB4">
              <w:t>Transfer</w:t>
            </w:r>
            <w:bookmarkEnd w:id="71"/>
            <w:bookmarkEnd w:id="72"/>
            <w:r w:rsidR="005C1F93" w:rsidRPr="00B16FB4">
              <w:t xml:space="preserve"> </w:t>
            </w:r>
          </w:p>
        </w:tc>
      </w:tr>
      <w:tr w:rsidR="00AA515E" w14:paraId="6060EC0F" w14:textId="77777777" w:rsidTr="007A3FCA">
        <w:tc>
          <w:tcPr>
            <w:tcW w:w="4675" w:type="dxa"/>
          </w:tcPr>
          <w:p w14:paraId="10C39B3A" w14:textId="77777777" w:rsidR="00AA515E" w:rsidRPr="00FD78B3" w:rsidRDefault="00AA515E" w:rsidP="003E4C24">
            <w:pPr>
              <w:rPr>
                <w:b/>
                <w:bCs/>
                <w:color w:val="153D63" w:themeColor="text2" w:themeTint="E6"/>
              </w:rPr>
            </w:pPr>
            <w:r w:rsidRPr="00FD78B3">
              <w:rPr>
                <w:b/>
                <w:bCs/>
                <w:color w:val="153D63" w:themeColor="text2" w:themeTint="E6"/>
              </w:rPr>
              <w:t xml:space="preserve">WRAP Area: </w:t>
            </w:r>
          </w:p>
          <w:p w14:paraId="3B26B665" w14:textId="58DD9260" w:rsidR="00AA515E" w:rsidRPr="00FD78B3" w:rsidRDefault="00F43883" w:rsidP="003E4C24">
            <w:pPr>
              <w:rPr>
                <w:color w:val="153D63" w:themeColor="text2" w:themeTint="E6"/>
              </w:rPr>
            </w:pPr>
            <w:r>
              <w:rPr>
                <w:color w:val="153D63" w:themeColor="text2" w:themeTint="E6"/>
              </w:rPr>
              <w:t>FS</w:t>
            </w:r>
            <w:r w:rsidR="007A3FCA">
              <w:rPr>
                <w:color w:val="153D63" w:themeColor="text2" w:themeTint="E6"/>
              </w:rPr>
              <w:t xml:space="preserve"> Demonstration</w:t>
            </w:r>
            <w:r>
              <w:rPr>
                <w:color w:val="153D63" w:themeColor="text2" w:themeTint="E6"/>
              </w:rPr>
              <w:t xml:space="preserve"> </w:t>
            </w:r>
            <w:r w:rsidR="007A3FCA">
              <w:rPr>
                <w:color w:val="153D63" w:themeColor="text2" w:themeTint="E6"/>
              </w:rPr>
              <w:t>&amp;</w:t>
            </w:r>
            <w:r w:rsidR="009A028F">
              <w:rPr>
                <w:color w:val="153D63" w:themeColor="text2" w:themeTint="E6"/>
              </w:rPr>
              <w:t xml:space="preserve"> </w:t>
            </w:r>
            <w:r>
              <w:rPr>
                <w:color w:val="153D63" w:themeColor="text2" w:themeTint="E6"/>
              </w:rPr>
              <w:t>Operations Program</w:t>
            </w:r>
          </w:p>
        </w:tc>
        <w:tc>
          <w:tcPr>
            <w:tcW w:w="2160" w:type="dxa"/>
          </w:tcPr>
          <w:p w14:paraId="57300E9E" w14:textId="53302A7A" w:rsidR="00AA515E" w:rsidRDefault="00C1275B" w:rsidP="003E4C24">
            <w:pPr>
              <w:rPr>
                <w:color w:val="153D63" w:themeColor="text2" w:themeTint="E6"/>
              </w:rPr>
            </w:pPr>
            <w:r>
              <w:rPr>
                <w:b/>
                <w:bCs/>
                <w:color w:val="153D63" w:themeColor="text2" w:themeTint="E6"/>
              </w:rPr>
              <w:t>Tariff</w:t>
            </w:r>
            <w:r w:rsidR="00AA515E" w:rsidRPr="004E4785">
              <w:rPr>
                <w:b/>
                <w:bCs/>
                <w:color w:val="153D63" w:themeColor="text2" w:themeTint="E6"/>
              </w:rPr>
              <w:t xml:space="preserve"> Change</w:t>
            </w:r>
            <w:r w:rsidR="00AA515E" w:rsidRPr="00FD78B3">
              <w:rPr>
                <w:color w:val="153D63" w:themeColor="text2" w:themeTint="E6"/>
              </w:rPr>
              <w:t>:</w:t>
            </w:r>
            <w:r w:rsidR="00AA515E">
              <w:rPr>
                <w:color w:val="153D63" w:themeColor="text2" w:themeTint="E6"/>
              </w:rPr>
              <w:t xml:space="preserve"> </w:t>
            </w:r>
          </w:p>
          <w:p w14:paraId="69AD99A4" w14:textId="1DB168DC" w:rsidR="00AA515E" w:rsidRPr="00FD78B3" w:rsidRDefault="00931391" w:rsidP="003E4C24">
            <w:pPr>
              <w:rPr>
                <w:color w:val="153D63" w:themeColor="text2" w:themeTint="E6"/>
              </w:rPr>
            </w:pPr>
            <w:r>
              <w:rPr>
                <w:color w:val="153D63" w:themeColor="text2" w:themeTint="E6"/>
              </w:rPr>
              <w:t>Yes</w:t>
            </w:r>
          </w:p>
        </w:tc>
        <w:tc>
          <w:tcPr>
            <w:tcW w:w="2515" w:type="dxa"/>
          </w:tcPr>
          <w:p w14:paraId="43EC050A" w14:textId="77777777" w:rsidR="00AA515E" w:rsidRDefault="00AA515E" w:rsidP="003E4C24">
            <w:pPr>
              <w:rPr>
                <w:b/>
                <w:bCs/>
                <w:color w:val="153D63" w:themeColor="text2" w:themeTint="E6"/>
              </w:rPr>
            </w:pPr>
            <w:r w:rsidRPr="004E4785">
              <w:rPr>
                <w:b/>
                <w:bCs/>
                <w:color w:val="153D63" w:themeColor="text2" w:themeTint="E6"/>
              </w:rPr>
              <w:t>Time Score:</w:t>
            </w:r>
          </w:p>
          <w:p w14:paraId="508A3004" w14:textId="6C52F72C" w:rsidR="00AA515E" w:rsidRPr="004E4785" w:rsidRDefault="00931391" w:rsidP="003E4C24">
            <w:pPr>
              <w:rPr>
                <w:color w:val="153D63" w:themeColor="text2" w:themeTint="E6"/>
              </w:rPr>
            </w:pPr>
            <w:r>
              <w:rPr>
                <w:color w:val="153D63" w:themeColor="text2" w:themeTint="E6"/>
              </w:rPr>
              <w:t>Long</w:t>
            </w:r>
          </w:p>
        </w:tc>
      </w:tr>
      <w:tr w:rsidR="00AA515E" w14:paraId="694385B6" w14:textId="77777777" w:rsidTr="003E4C24">
        <w:tc>
          <w:tcPr>
            <w:tcW w:w="4675" w:type="dxa"/>
          </w:tcPr>
          <w:p w14:paraId="20D7CAF6" w14:textId="77777777" w:rsidR="00FB3ABD" w:rsidRDefault="00AA515E" w:rsidP="00FB3ABD">
            <w:r w:rsidRPr="00016218">
              <w:rPr>
                <w:b/>
                <w:bCs/>
              </w:rPr>
              <w:t>Lead Sponsor</w:t>
            </w:r>
            <w:r>
              <w:t xml:space="preserve">: </w:t>
            </w:r>
            <w:r w:rsidR="00FB3ABD">
              <w:t>Steve Bellcoff</w:t>
            </w:r>
          </w:p>
          <w:p w14:paraId="7BD8C6F7" w14:textId="312CF4F9" w:rsidR="00AA515E" w:rsidRDefault="00FB3ABD" w:rsidP="003E4C24">
            <w:r>
              <w:t>srbellcoff@bpa.gov</w:t>
            </w:r>
          </w:p>
        </w:tc>
        <w:tc>
          <w:tcPr>
            <w:tcW w:w="4675" w:type="dxa"/>
            <w:gridSpan w:val="2"/>
          </w:tcPr>
          <w:p w14:paraId="4655EBCA" w14:textId="77777777" w:rsidR="00AA515E" w:rsidRPr="00651CDC" w:rsidRDefault="00AA515E" w:rsidP="003E4C24">
            <w:r>
              <w:rPr>
                <w:b/>
                <w:bCs/>
              </w:rPr>
              <w:t xml:space="preserve">Co-Sponsor: </w:t>
            </w:r>
          </w:p>
        </w:tc>
      </w:tr>
      <w:tr w:rsidR="00AA515E" w14:paraId="2D0B19B2" w14:textId="77777777" w:rsidTr="003E4C24">
        <w:tc>
          <w:tcPr>
            <w:tcW w:w="9350" w:type="dxa"/>
            <w:gridSpan w:val="3"/>
          </w:tcPr>
          <w:p w14:paraId="5E6D9572" w14:textId="79A5D972" w:rsidR="00AA515E" w:rsidRPr="00C329E4" w:rsidRDefault="00AA515E" w:rsidP="003E4C24">
            <w:r w:rsidRPr="00F64D69">
              <w:rPr>
                <w:b/>
                <w:bCs/>
              </w:rPr>
              <w:t>Summary</w:t>
            </w:r>
            <w:r>
              <w:t xml:space="preserve">: </w:t>
            </w:r>
            <w:r w:rsidR="009B4B68" w:rsidRPr="009B4B68">
              <w:t>Loads Transfer between Forwards Showing and Operations</w:t>
            </w:r>
          </w:p>
        </w:tc>
      </w:tr>
      <w:tr w:rsidR="00AA515E" w14:paraId="0AAB6B23" w14:textId="77777777" w:rsidTr="003E4C24">
        <w:tc>
          <w:tcPr>
            <w:tcW w:w="9350" w:type="dxa"/>
            <w:gridSpan w:val="3"/>
          </w:tcPr>
          <w:p w14:paraId="4CC5512F" w14:textId="77777777" w:rsidR="00AA515E" w:rsidRDefault="00AA515E" w:rsidP="003E4C24">
            <w:pPr>
              <w:rPr>
                <w:b/>
                <w:bCs/>
              </w:rPr>
            </w:pPr>
            <w:r>
              <w:rPr>
                <w:b/>
                <w:bCs/>
              </w:rPr>
              <w:t xml:space="preserve">Description of the issue: </w:t>
            </w:r>
          </w:p>
          <w:p w14:paraId="0BBEA5D2" w14:textId="77777777" w:rsidR="00931391" w:rsidRPr="00931391" w:rsidRDefault="00931391" w:rsidP="00931391">
            <w:r w:rsidRPr="00931391">
              <w:t xml:space="preserve">In real life, entities have made contractual agreements with other parties to serve load outside LRE’s home BAA (and any changes to that load) </w:t>
            </w:r>
            <w:proofErr w:type="gramStart"/>
            <w:r w:rsidRPr="00931391">
              <w:t>in</w:t>
            </w:r>
            <w:proofErr w:type="gramEnd"/>
            <w:r w:rsidRPr="00931391">
              <w:t xml:space="preserve"> the operating day.  That means that the Load Responsible Entity (LRE) has put in place a contract with another entity to serve the load, and </w:t>
            </w:r>
            <w:proofErr w:type="gramStart"/>
            <w:r w:rsidRPr="00931391">
              <w:t>any and all</w:t>
            </w:r>
            <w:proofErr w:type="gramEnd"/>
            <w:r w:rsidRPr="00931391">
              <w:t xml:space="preserve"> fluctuations in that load after an established scheduling deadline (typically preschedule). The LRE does all the planning for load service.  Generally, the LRE, through an agreed upon schedule and forecast, arranges </w:t>
            </w:r>
            <w:proofErr w:type="gramStart"/>
            <w:r w:rsidRPr="00931391">
              <w:t>for  a</w:t>
            </w:r>
            <w:proofErr w:type="gramEnd"/>
            <w:r w:rsidRPr="00931391">
              <w:t xml:space="preserve"> transfer schedule of energy to the second entity on the preschedule day, the second party takes that transfer schedule and then meets the end use load as it </w:t>
            </w:r>
            <w:proofErr w:type="gramStart"/>
            <w:r w:rsidRPr="00931391">
              <w:t>actually appears</w:t>
            </w:r>
            <w:proofErr w:type="gramEnd"/>
            <w:r w:rsidRPr="00931391">
              <w:t>. </w:t>
            </w:r>
          </w:p>
          <w:p w14:paraId="3126E5BA" w14:textId="77777777" w:rsidR="00931391" w:rsidRDefault="00931391" w:rsidP="00931391"/>
          <w:p w14:paraId="2BEC314C" w14:textId="6F9B3AAD" w:rsidR="00931391" w:rsidRPr="00931391" w:rsidRDefault="00931391" w:rsidP="00931391">
            <w:r w:rsidRPr="00931391">
              <w:t>WRAP methodology and calculations hold the LRE responsible for this load from Forward Showing through the Operations program time frame until the hour of delivery, which is different than how these loads are served real life due to afore-mentioned agreements that have been put in place between parties.</w:t>
            </w:r>
          </w:p>
          <w:p w14:paraId="2A7D77E9" w14:textId="77777777" w:rsidR="00931391" w:rsidRDefault="00931391" w:rsidP="00931391"/>
          <w:p w14:paraId="1DE58EFE" w14:textId="19362109" w:rsidR="00931391" w:rsidRPr="006008A2" w:rsidRDefault="00931391" w:rsidP="003E4C24">
            <w:r w:rsidRPr="00931391">
              <w:t>WRAP needs a mechanism that allows the shifting of responsibility for loads (Transfer) between Forward Showing and the Operations program time periods, when and where contractual mechanisms are in place, outside of WRAP, for real time load serves by another party</w:t>
            </w:r>
          </w:p>
        </w:tc>
      </w:tr>
      <w:tr w:rsidR="00AA515E" w14:paraId="600CAB77" w14:textId="77777777" w:rsidTr="003E4C24">
        <w:tc>
          <w:tcPr>
            <w:tcW w:w="9350" w:type="dxa"/>
            <w:gridSpan w:val="3"/>
          </w:tcPr>
          <w:p w14:paraId="6D39CE6A" w14:textId="77777777" w:rsidR="00AA515E" w:rsidRPr="006008A2" w:rsidRDefault="00AA515E" w:rsidP="003E4C24">
            <w:r>
              <w:rPr>
                <w:b/>
                <w:bCs/>
              </w:rPr>
              <w:t xml:space="preserve">Proposed solution to the issue described: </w:t>
            </w:r>
          </w:p>
          <w:p w14:paraId="105880E8" w14:textId="77777777" w:rsidR="00DA4013" w:rsidRPr="00DA4013" w:rsidRDefault="00DA4013" w:rsidP="00DA4013">
            <w:r w:rsidRPr="00DA4013">
              <w:t xml:space="preserve">WRAP </w:t>
            </w:r>
            <w:proofErr w:type="gramStart"/>
            <w:r w:rsidRPr="00DA4013">
              <w:t>methodology that</w:t>
            </w:r>
            <w:proofErr w:type="gramEnd"/>
            <w:r w:rsidRPr="00DA4013">
              <w:t xml:space="preserve"> allows the LRE to hold responsibility in the Forward </w:t>
            </w:r>
            <w:proofErr w:type="gramStart"/>
            <w:r w:rsidRPr="00DA4013">
              <w:t>Showing, but</w:t>
            </w:r>
            <w:proofErr w:type="gramEnd"/>
            <w:r w:rsidRPr="00DA4013">
              <w:t xml:space="preserve"> </w:t>
            </w:r>
            <w:proofErr w:type="gramStart"/>
            <w:r w:rsidRPr="00DA4013">
              <w:t>shift</w:t>
            </w:r>
            <w:proofErr w:type="gramEnd"/>
            <w:r w:rsidRPr="00DA4013">
              <w:t xml:space="preserve"> the load to a second party during the Operations program.  This ‘Transfer’ of load would align Load Service Responsibility with what has been contracted for in real operations. </w:t>
            </w:r>
          </w:p>
          <w:p w14:paraId="0A900CC8" w14:textId="77777777" w:rsidR="00DA4013" w:rsidRDefault="00DA4013" w:rsidP="00DA4013"/>
          <w:p w14:paraId="2E560E89" w14:textId="03B9D0E8" w:rsidR="00DA4013" w:rsidRPr="00DA4013" w:rsidRDefault="00DA4013" w:rsidP="00DA4013">
            <w:r w:rsidRPr="00DA4013">
              <w:t>Without this shift the LRE (FS planning participant) continues to see this load as part of it sharing calculation all the way through the Operations Program to the T-120 sharing calculations, while in fact that load shifted from one participant to another entity.  Embedded in the sharing calculation is the uncertainty calculation, when that load is ‘Transferred’ from one entity to another, the uncertainty in the sharing calculation would also shift as well, aligning that uncertainty with the actual delivery. </w:t>
            </w:r>
          </w:p>
          <w:p w14:paraId="6889A307" w14:textId="77777777" w:rsidR="00DA4013" w:rsidRDefault="00DA4013" w:rsidP="00DA4013"/>
          <w:p w14:paraId="367877D6" w14:textId="534711FB" w:rsidR="00DA4013" w:rsidRPr="00DA4013" w:rsidRDefault="00DA4013" w:rsidP="00DA4013">
            <w:r w:rsidRPr="00DA4013">
              <w:t xml:space="preserve">When the LRE established a schedule at the defined contractual time (say preschedule), that is the delivery schedule – no uncertainty exists for the LRE related to that load, it is </w:t>
            </w:r>
            <w:r w:rsidRPr="00DA4013">
              <w:lastRenderedPageBreak/>
              <w:t>now a fixed scheduled, however the second entity now has all the uncertainty related to that load from the scheduling time to deliver hour.  Allowing a load Transfer between Forward Showing and Operations Program, would put all Forward Showing planning and load responsibility with the LRE, then through the ‘transfer’ realign that operational responsibility (and uncertainty) to the entity who is contractual serving the load on the Operating hour.</w:t>
            </w:r>
          </w:p>
          <w:p w14:paraId="469A0CF5" w14:textId="0120EE31" w:rsidR="00DA4013" w:rsidRPr="00DA4013" w:rsidRDefault="00DA4013" w:rsidP="00DA4013"/>
          <w:p w14:paraId="5DB0BB42" w14:textId="7671A702" w:rsidR="00AA515E" w:rsidRPr="00AB7637" w:rsidRDefault="00DA4013" w:rsidP="003E4C24">
            <w:r w:rsidRPr="00DA4013">
              <w:t>*Note – Transfer concept may require a link to NT transmission service.</w:t>
            </w:r>
          </w:p>
        </w:tc>
      </w:tr>
      <w:tr w:rsidR="00AA515E" w14:paraId="1E554009" w14:textId="77777777" w:rsidTr="003E4C24">
        <w:tc>
          <w:tcPr>
            <w:tcW w:w="9350" w:type="dxa"/>
            <w:gridSpan w:val="3"/>
          </w:tcPr>
          <w:p w14:paraId="611AE1EC" w14:textId="77777777" w:rsidR="00AA515E" w:rsidRDefault="00AA515E" w:rsidP="003E4C24">
            <w:pPr>
              <w:rPr>
                <w:b/>
                <w:bCs/>
              </w:rPr>
            </w:pPr>
            <w:r>
              <w:rPr>
                <w:b/>
                <w:bCs/>
              </w:rPr>
              <w:lastRenderedPageBreak/>
              <w:t>Specific document and language you would like changed:</w:t>
            </w:r>
          </w:p>
          <w:p w14:paraId="5F5A17F0" w14:textId="0BB511B8" w:rsidR="00AA515E" w:rsidRPr="003E595A" w:rsidRDefault="00067BC8" w:rsidP="003E4C24">
            <w:r>
              <w:t>-</w:t>
            </w:r>
          </w:p>
        </w:tc>
      </w:tr>
      <w:tr w:rsidR="00AA515E" w14:paraId="069935E1" w14:textId="77777777" w:rsidTr="003E4C24">
        <w:tc>
          <w:tcPr>
            <w:tcW w:w="9350" w:type="dxa"/>
            <w:gridSpan w:val="3"/>
          </w:tcPr>
          <w:p w14:paraId="478657AF" w14:textId="77777777" w:rsidR="00AA515E" w:rsidRDefault="00AA515E" w:rsidP="003E4C24">
            <w:pPr>
              <w:rPr>
                <w:b/>
                <w:bCs/>
              </w:rPr>
            </w:pPr>
            <w:r>
              <w:rPr>
                <w:b/>
                <w:bCs/>
              </w:rPr>
              <w:t xml:space="preserve">Suggestion for how language could be updated to address </w:t>
            </w:r>
            <w:proofErr w:type="gramStart"/>
            <w:r>
              <w:rPr>
                <w:b/>
                <w:bCs/>
              </w:rPr>
              <w:t>issue</w:t>
            </w:r>
            <w:proofErr w:type="gramEnd"/>
            <w:r>
              <w:rPr>
                <w:b/>
                <w:bCs/>
              </w:rPr>
              <w:t>:</w:t>
            </w:r>
          </w:p>
          <w:p w14:paraId="07DEBA2E" w14:textId="3C7577D1" w:rsidR="00AA515E" w:rsidRPr="004A50B4" w:rsidRDefault="00067BC8" w:rsidP="003E4C24">
            <w:r>
              <w:t>-</w:t>
            </w:r>
          </w:p>
        </w:tc>
      </w:tr>
      <w:tr w:rsidR="00AA515E" w14:paraId="28316E2C" w14:textId="77777777" w:rsidTr="003E4C24">
        <w:tc>
          <w:tcPr>
            <w:tcW w:w="9350" w:type="dxa"/>
            <w:gridSpan w:val="3"/>
          </w:tcPr>
          <w:p w14:paraId="3EB4B0EF" w14:textId="77777777" w:rsidR="00AA515E" w:rsidRDefault="00AA515E" w:rsidP="003E4C24">
            <w:r>
              <w:rPr>
                <w:b/>
                <w:bCs/>
              </w:rPr>
              <w:t>Describe the benefits that will be realized from this change:</w:t>
            </w:r>
          </w:p>
          <w:p w14:paraId="34F4A381" w14:textId="2EEF71EE" w:rsidR="00AA515E" w:rsidRPr="00A5483E" w:rsidRDefault="00067BC8" w:rsidP="003E4C24">
            <w:r w:rsidRPr="00067BC8">
              <w:t xml:space="preserve">More accurate reflection of how loads are </w:t>
            </w:r>
            <w:proofErr w:type="gramStart"/>
            <w:r w:rsidRPr="00067BC8">
              <w:t>served in reality</w:t>
            </w:r>
            <w:proofErr w:type="gramEnd"/>
            <w:r w:rsidRPr="00067BC8">
              <w:t>.  Allowing a Transfer of load, would align WRAP Operations Program calculations with real operations for participants who have these contracts in place (both party and counter party to these agreements).  This would allow Operations Program uncertainty to align with the party serving the load on the operating hour, while still holding the LRE responsible in WRAP for all forward planning requirements that are their responsibility in the real world. </w:t>
            </w:r>
          </w:p>
        </w:tc>
      </w:tr>
      <w:tr w:rsidR="00AA515E" w14:paraId="6EA43F07" w14:textId="77777777" w:rsidTr="003E4C24">
        <w:tc>
          <w:tcPr>
            <w:tcW w:w="9350" w:type="dxa"/>
            <w:gridSpan w:val="3"/>
          </w:tcPr>
          <w:p w14:paraId="0B5C4D74" w14:textId="77777777" w:rsidR="00AA515E" w:rsidRDefault="00AA515E" w:rsidP="003E4C24">
            <w:pPr>
              <w:rPr>
                <w:b/>
                <w:bCs/>
              </w:rPr>
            </w:pPr>
            <w:r>
              <w:rPr>
                <w:b/>
                <w:bCs/>
              </w:rPr>
              <w:t>Any data/information that would characterize the importance of the issue:</w:t>
            </w:r>
          </w:p>
          <w:p w14:paraId="6F1408D8" w14:textId="32F2761A" w:rsidR="00AA515E" w:rsidRPr="00324C95" w:rsidRDefault="00067BC8" w:rsidP="003E4C24">
            <w:r>
              <w:t>-</w:t>
            </w:r>
          </w:p>
        </w:tc>
      </w:tr>
    </w:tbl>
    <w:p w14:paraId="25DE1F94" w14:textId="77777777" w:rsidR="00AA515E" w:rsidRDefault="00AA515E">
      <w:pPr>
        <w:rPr>
          <w:rFonts w:eastAsiaTheme="majorEastAsia"/>
        </w:rPr>
      </w:pPr>
      <w:r>
        <w:rPr>
          <w:rFonts w:eastAsiaTheme="majorEastAsia"/>
        </w:rPr>
        <w:br w:type="page"/>
      </w:r>
    </w:p>
    <w:tbl>
      <w:tblPr>
        <w:tblStyle w:val="TableGrid"/>
        <w:tblW w:w="0" w:type="auto"/>
        <w:tblLook w:val="04A0" w:firstRow="1" w:lastRow="0" w:firstColumn="1" w:lastColumn="0" w:noHBand="0" w:noVBand="1"/>
      </w:tblPr>
      <w:tblGrid>
        <w:gridCol w:w="3116"/>
        <w:gridCol w:w="1559"/>
        <w:gridCol w:w="1558"/>
        <w:gridCol w:w="3117"/>
      </w:tblGrid>
      <w:tr w:rsidR="00AA515E" w14:paraId="7F68398F" w14:textId="77777777" w:rsidTr="003E4C24">
        <w:tc>
          <w:tcPr>
            <w:tcW w:w="9350" w:type="dxa"/>
            <w:gridSpan w:val="4"/>
          </w:tcPr>
          <w:p w14:paraId="556E315A" w14:textId="4716B055" w:rsidR="00AA515E" w:rsidRDefault="00AA515E" w:rsidP="003E4C24">
            <w:pPr>
              <w:pStyle w:val="Heading1"/>
            </w:pPr>
            <w:bookmarkStart w:id="73" w:name="_Toc189746913"/>
            <w:bookmarkStart w:id="74" w:name="_Toc189840339"/>
            <w:r>
              <w:lastRenderedPageBreak/>
              <w:t>2024-CRF-0</w:t>
            </w:r>
            <w:r w:rsidR="00CA60AD">
              <w:t>31</w:t>
            </w:r>
            <w:r>
              <w:t xml:space="preserve"> / </w:t>
            </w:r>
            <w:r w:rsidR="00CA60AD">
              <w:t>EWEB</w:t>
            </w:r>
            <w:r>
              <w:t xml:space="preserve"> / </w:t>
            </w:r>
            <w:r w:rsidR="00CA60AD">
              <w:t>Bilateral Contract</w:t>
            </w:r>
            <w:r w:rsidR="0076111D">
              <w:t>s</w:t>
            </w:r>
            <w:bookmarkEnd w:id="73"/>
            <w:bookmarkEnd w:id="74"/>
          </w:p>
        </w:tc>
      </w:tr>
      <w:tr w:rsidR="00AA515E" w14:paraId="59F2F609" w14:textId="77777777" w:rsidTr="003E4C24">
        <w:tc>
          <w:tcPr>
            <w:tcW w:w="3116" w:type="dxa"/>
          </w:tcPr>
          <w:p w14:paraId="5C752A6B" w14:textId="77777777" w:rsidR="00AA515E" w:rsidRPr="00FD78B3" w:rsidRDefault="00AA515E" w:rsidP="003E4C24">
            <w:pPr>
              <w:rPr>
                <w:b/>
                <w:bCs/>
                <w:color w:val="153D63" w:themeColor="text2" w:themeTint="E6"/>
              </w:rPr>
            </w:pPr>
            <w:r w:rsidRPr="00FD78B3">
              <w:rPr>
                <w:b/>
                <w:bCs/>
                <w:color w:val="153D63" w:themeColor="text2" w:themeTint="E6"/>
              </w:rPr>
              <w:t xml:space="preserve">WRAP Area: </w:t>
            </w:r>
          </w:p>
          <w:p w14:paraId="15E9344C" w14:textId="78FC24ED" w:rsidR="00AA515E" w:rsidRPr="00FD78B3" w:rsidRDefault="00F43883" w:rsidP="003E4C24">
            <w:pPr>
              <w:rPr>
                <w:color w:val="153D63" w:themeColor="text2" w:themeTint="E6"/>
              </w:rPr>
            </w:pPr>
            <w:r>
              <w:rPr>
                <w:color w:val="153D63" w:themeColor="text2" w:themeTint="E6"/>
              </w:rPr>
              <w:t>Resource Accreditation</w:t>
            </w:r>
          </w:p>
        </w:tc>
        <w:tc>
          <w:tcPr>
            <w:tcW w:w="3117" w:type="dxa"/>
            <w:gridSpan w:val="2"/>
          </w:tcPr>
          <w:p w14:paraId="2E8810E4" w14:textId="4C329431" w:rsidR="00AA515E" w:rsidRDefault="00C1275B" w:rsidP="003E4C24">
            <w:pPr>
              <w:rPr>
                <w:color w:val="153D63" w:themeColor="text2" w:themeTint="E6"/>
              </w:rPr>
            </w:pPr>
            <w:r>
              <w:rPr>
                <w:b/>
                <w:bCs/>
                <w:color w:val="153D63" w:themeColor="text2" w:themeTint="E6"/>
              </w:rPr>
              <w:t>Tariff</w:t>
            </w:r>
            <w:r w:rsidR="00AA515E" w:rsidRPr="004E4785">
              <w:rPr>
                <w:b/>
                <w:bCs/>
                <w:color w:val="153D63" w:themeColor="text2" w:themeTint="E6"/>
              </w:rPr>
              <w:t xml:space="preserve"> Change</w:t>
            </w:r>
            <w:r w:rsidR="00AA515E" w:rsidRPr="00FD78B3">
              <w:rPr>
                <w:color w:val="153D63" w:themeColor="text2" w:themeTint="E6"/>
              </w:rPr>
              <w:t>:</w:t>
            </w:r>
            <w:r w:rsidR="00AA515E">
              <w:rPr>
                <w:color w:val="153D63" w:themeColor="text2" w:themeTint="E6"/>
              </w:rPr>
              <w:t xml:space="preserve"> </w:t>
            </w:r>
          </w:p>
          <w:p w14:paraId="34FCC708" w14:textId="0BD7CB99" w:rsidR="00AA515E" w:rsidRPr="00FD78B3" w:rsidRDefault="00146288" w:rsidP="003E4C24">
            <w:pPr>
              <w:rPr>
                <w:color w:val="153D63" w:themeColor="text2" w:themeTint="E6"/>
              </w:rPr>
            </w:pPr>
            <w:r>
              <w:rPr>
                <w:color w:val="153D63" w:themeColor="text2" w:themeTint="E6"/>
              </w:rPr>
              <w:t>No</w:t>
            </w:r>
          </w:p>
        </w:tc>
        <w:tc>
          <w:tcPr>
            <w:tcW w:w="3117" w:type="dxa"/>
          </w:tcPr>
          <w:p w14:paraId="606C4D54" w14:textId="77777777" w:rsidR="00AA515E" w:rsidRDefault="00AA515E" w:rsidP="003E4C24">
            <w:pPr>
              <w:rPr>
                <w:b/>
                <w:bCs/>
                <w:color w:val="153D63" w:themeColor="text2" w:themeTint="E6"/>
              </w:rPr>
            </w:pPr>
            <w:r w:rsidRPr="004E4785">
              <w:rPr>
                <w:b/>
                <w:bCs/>
                <w:color w:val="153D63" w:themeColor="text2" w:themeTint="E6"/>
              </w:rPr>
              <w:t>Time Score:</w:t>
            </w:r>
          </w:p>
          <w:p w14:paraId="35DF7E09" w14:textId="0806C4DD" w:rsidR="00AA515E" w:rsidRPr="004E4785" w:rsidRDefault="00146288" w:rsidP="003E4C24">
            <w:pPr>
              <w:rPr>
                <w:color w:val="153D63" w:themeColor="text2" w:themeTint="E6"/>
              </w:rPr>
            </w:pPr>
            <w:r>
              <w:rPr>
                <w:color w:val="153D63" w:themeColor="text2" w:themeTint="E6"/>
              </w:rPr>
              <w:t>Medium</w:t>
            </w:r>
          </w:p>
        </w:tc>
      </w:tr>
      <w:tr w:rsidR="00AA515E" w14:paraId="13A9746E" w14:textId="77777777" w:rsidTr="003E4C24">
        <w:tc>
          <w:tcPr>
            <w:tcW w:w="4675" w:type="dxa"/>
            <w:gridSpan w:val="2"/>
          </w:tcPr>
          <w:p w14:paraId="58D59E25" w14:textId="69C4DE69" w:rsidR="00AA515E" w:rsidRDefault="00AA515E" w:rsidP="003E4C24">
            <w:r w:rsidRPr="00016218">
              <w:rPr>
                <w:b/>
                <w:bCs/>
              </w:rPr>
              <w:t>Lead Sponsor</w:t>
            </w:r>
            <w:r>
              <w:t xml:space="preserve">: </w:t>
            </w:r>
            <w:r w:rsidR="0076111D">
              <w:t>Jonathan Hart</w:t>
            </w:r>
          </w:p>
          <w:p w14:paraId="1620DA58" w14:textId="1744BC91" w:rsidR="00AA515E" w:rsidRDefault="0076111D" w:rsidP="003E4C24">
            <w:r>
              <w:t>Jonathan.hart@eweb.org</w:t>
            </w:r>
          </w:p>
        </w:tc>
        <w:tc>
          <w:tcPr>
            <w:tcW w:w="4675" w:type="dxa"/>
            <w:gridSpan w:val="2"/>
          </w:tcPr>
          <w:p w14:paraId="056520D6" w14:textId="77777777" w:rsidR="00AA515E" w:rsidRPr="00651CDC" w:rsidRDefault="00AA515E" w:rsidP="003E4C24">
            <w:r>
              <w:rPr>
                <w:b/>
                <w:bCs/>
              </w:rPr>
              <w:t xml:space="preserve">Co-Sponsor: </w:t>
            </w:r>
          </w:p>
        </w:tc>
      </w:tr>
      <w:tr w:rsidR="00AA515E" w14:paraId="642D55A5" w14:textId="77777777" w:rsidTr="003E4C24">
        <w:tc>
          <w:tcPr>
            <w:tcW w:w="9350" w:type="dxa"/>
            <w:gridSpan w:val="4"/>
          </w:tcPr>
          <w:p w14:paraId="66E46CC3" w14:textId="49F9EF75" w:rsidR="00AA515E" w:rsidRPr="00C329E4" w:rsidRDefault="00AA515E" w:rsidP="003E4C24">
            <w:r w:rsidRPr="00F64D69">
              <w:rPr>
                <w:b/>
                <w:bCs/>
              </w:rPr>
              <w:t>Summary</w:t>
            </w:r>
            <w:r>
              <w:t xml:space="preserve">: </w:t>
            </w:r>
            <w:r w:rsidR="0076111D" w:rsidRPr="0076111D">
              <w:t>Bilateral Contract Support</w:t>
            </w:r>
          </w:p>
        </w:tc>
      </w:tr>
      <w:tr w:rsidR="00AA515E" w14:paraId="19E44153" w14:textId="77777777" w:rsidTr="003E4C24">
        <w:tc>
          <w:tcPr>
            <w:tcW w:w="9350" w:type="dxa"/>
            <w:gridSpan w:val="4"/>
          </w:tcPr>
          <w:p w14:paraId="5F33D391" w14:textId="77777777" w:rsidR="00AA515E" w:rsidRDefault="00AA515E" w:rsidP="003E4C24">
            <w:pPr>
              <w:rPr>
                <w:b/>
                <w:bCs/>
              </w:rPr>
            </w:pPr>
            <w:r>
              <w:rPr>
                <w:b/>
                <w:bCs/>
              </w:rPr>
              <w:t xml:space="preserve">Description of the issue: </w:t>
            </w:r>
          </w:p>
          <w:p w14:paraId="3A3B8EDB" w14:textId="3BE21AC6" w:rsidR="00AC47E4" w:rsidRPr="006008A2" w:rsidRDefault="00AC47E4" w:rsidP="003E4C24">
            <w:r w:rsidRPr="00AC47E4">
              <w:t xml:space="preserve">EWEB is seeking support for </w:t>
            </w:r>
            <w:proofErr w:type="gramStart"/>
            <w:r w:rsidRPr="00AC47E4">
              <w:t>development</w:t>
            </w:r>
            <w:proofErr w:type="gramEnd"/>
            <w:r w:rsidRPr="00AC47E4">
              <w:t xml:space="preserve"> of a bilateral, WRAP compliant legal framework for capacity contracts where financial damages for non-performance under the program can be appropriately conveyed to an upstream party who failed to perform, thus shielding a WRAP participant from FS and Ops penalties for inadequacy and non-performance.    </w:t>
            </w:r>
          </w:p>
        </w:tc>
      </w:tr>
      <w:tr w:rsidR="00AA515E" w14:paraId="567FE263" w14:textId="77777777" w:rsidTr="003E4C24">
        <w:tc>
          <w:tcPr>
            <w:tcW w:w="9350" w:type="dxa"/>
            <w:gridSpan w:val="4"/>
          </w:tcPr>
          <w:p w14:paraId="64AAD7DB" w14:textId="77777777" w:rsidR="00AA515E" w:rsidRPr="006008A2" w:rsidRDefault="00AA515E" w:rsidP="003E4C24">
            <w:r>
              <w:rPr>
                <w:b/>
                <w:bCs/>
              </w:rPr>
              <w:t xml:space="preserve">Proposed solution to the issue described: </w:t>
            </w:r>
          </w:p>
          <w:p w14:paraId="0927CA13" w14:textId="6FCA0741" w:rsidR="00AA515E" w:rsidRPr="00AB7637" w:rsidRDefault="00AC47E4" w:rsidP="003E4C24">
            <w:r w:rsidRPr="00AC47E4">
              <w:t>No suggested solution other than to engage with legal staff to determine/standardize a set of edits that could be applied to an bilateral contract to make it WRAP compliant. This could include edits to a standard WSPP agreement, though the intent is not to work through the WSPP contract revision process. </w:t>
            </w:r>
          </w:p>
        </w:tc>
      </w:tr>
      <w:tr w:rsidR="00AA515E" w14:paraId="6F298B0D" w14:textId="77777777" w:rsidTr="003E4C24">
        <w:tc>
          <w:tcPr>
            <w:tcW w:w="9350" w:type="dxa"/>
            <w:gridSpan w:val="4"/>
          </w:tcPr>
          <w:p w14:paraId="031CE59B" w14:textId="77777777" w:rsidR="00AA515E" w:rsidRDefault="00AA515E" w:rsidP="003E4C24">
            <w:pPr>
              <w:rPr>
                <w:b/>
                <w:bCs/>
              </w:rPr>
            </w:pPr>
            <w:r>
              <w:rPr>
                <w:b/>
                <w:bCs/>
              </w:rPr>
              <w:t>Specific document and language you would like changed:</w:t>
            </w:r>
          </w:p>
          <w:p w14:paraId="06A12588" w14:textId="586625BF" w:rsidR="00AA515E" w:rsidRPr="003E595A" w:rsidRDefault="00AC47E4" w:rsidP="003E4C24">
            <w:r>
              <w:t>-</w:t>
            </w:r>
          </w:p>
        </w:tc>
      </w:tr>
      <w:tr w:rsidR="00AA515E" w14:paraId="7819E1FD" w14:textId="77777777" w:rsidTr="003E4C24">
        <w:tc>
          <w:tcPr>
            <w:tcW w:w="9350" w:type="dxa"/>
            <w:gridSpan w:val="4"/>
          </w:tcPr>
          <w:p w14:paraId="27C86ED8" w14:textId="77777777" w:rsidR="00AA515E" w:rsidRDefault="00AA515E" w:rsidP="003E4C24">
            <w:pPr>
              <w:rPr>
                <w:b/>
                <w:bCs/>
              </w:rPr>
            </w:pPr>
            <w:r>
              <w:rPr>
                <w:b/>
                <w:bCs/>
              </w:rPr>
              <w:t xml:space="preserve">Suggestion for how language could be updated to address </w:t>
            </w:r>
            <w:proofErr w:type="gramStart"/>
            <w:r>
              <w:rPr>
                <w:b/>
                <w:bCs/>
              </w:rPr>
              <w:t>issue</w:t>
            </w:r>
            <w:proofErr w:type="gramEnd"/>
            <w:r>
              <w:rPr>
                <w:b/>
                <w:bCs/>
              </w:rPr>
              <w:t>:</w:t>
            </w:r>
          </w:p>
          <w:p w14:paraId="4F512C36" w14:textId="1D1B867A" w:rsidR="00AA515E" w:rsidRPr="004A50B4" w:rsidRDefault="00AC47E4" w:rsidP="003E4C24">
            <w:r>
              <w:t>-</w:t>
            </w:r>
          </w:p>
        </w:tc>
      </w:tr>
      <w:tr w:rsidR="00AA515E" w14:paraId="2B0837BC" w14:textId="77777777" w:rsidTr="003E4C24">
        <w:tc>
          <w:tcPr>
            <w:tcW w:w="9350" w:type="dxa"/>
            <w:gridSpan w:val="4"/>
          </w:tcPr>
          <w:p w14:paraId="13FFA6F7" w14:textId="77777777" w:rsidR="00AA515E" w:rsidRDefault="00AA515E" w:rsidP="003E4C24">
            <w:r>
              <w:rPr>
                <w:b/>
                <w:bCs/>
              </w:rPr>
              <w:t>Describe the benefits that will be realized from this change:</w:t>
            </w:r>
          </w:p>
          <w:p w14:paraId="51B5158A" w14:textId="6A05DB57" w:rsidR="00AA515E" w:rsidRPr="00A5483E" w:rsidRDefault="00AC47E4" w:rsidP="003E4C24">
            <w:r w:rsidRPr="00AC47E4">
              <w:t>The WRAP tariff defines penalties for inadequacy and non-performance which are assessed to participants. For the program to be successful, participants need to be able to efficiently develop commercial arrangements to support trade liquidity for capacity products. Standardization of commercial terms and trade liquidity supports the cost effectiveness of the program as it simplifies the ways in which participant and non-participants can work together to solve form program capacity needs. At times, this will mean that one party needs to be able to effectively take on the financial liability on non-performance from another party.</w:t>
            </w:r>
          </w:p>
        </w:tc>
      </w:tr>
      <w:tr w:rsidR="00AA515E" w14:paraId="084D4890" w14:textId="77777777" w:rsidTr="003E4C24">
        <w:tc>
          <w:tcPr>
            <w:tcW w:w="9350" w:type="dxa"/>
            <w:gridSpan w:val="4"/>
          </w:tcPr>
          <w:p w14:paraId="754EF0A6" w14:textId="77777777" w:rsidR="00AA515E" w:rsidRDefault="00AA515E" w:rsidP="003E4C24">
            <w:pPr>
              <w:rPr>
                <w:b/>
                <w:bCs/>
              </w:rPr>
            </w:pPr>
            <w:r>
              <w:rPr>
                <w:b/>
                <w:bCs/>
              </w:rPr>
              <w:t>Any data/information that would characterize the importance of the issue:</w:t>
            </w:r>
          </w:p>
          <w:p w14:paraId="707309D6" w14:textId="4402CAEA" w:rsidR="00AA515E" w:rsidRPr="00324C95" w:rsidRDefault="00AC47E4" w:rsidP="003E4C24">
            <w:r>
              <w:t>-</w:t>
            </w:r>
          </w:p>
        </w:tc>
      </w:tr>
    </w:tbl>
    <w:p w14:paraId="2345B505" w14:textId="59E5090B" w:rsidR="00AC47E4" w:rsidRDefault="00AC47E4" w:rsidP="00EE62E8">
      <w:pPr>
        <w:rPr>
          <w:rFonts w:eastAsiaTheme="majorEastAsia"/>
        </w:rPr>
      </w:pPr>
    </w:p>
    <w:p w14:paraId="4298C090" w14:textId="77777777" w:rsidR="00AC47E4" w:rsidRDefault="00AC47E4">
      <w:pPr>
        <w:rPr>
          <w:rFonts w:eastAsiaTheme="majorEastAsia"/>
        </w:rPr>
      </w:pPr>
      <w:r>
        <w:rPr>
          <w:rFonts w:eastAsiaTheme="majorEastAsia"/>
        </w:rPr>
        <w:br w:type="page"/>
      </w:r>
    </w:p>
    <w:p w14:paraId="42DE014F" w14:textId="205AFCA6" w:rsidR="000F5A8A" w:rsidRDefault="00AC47E4" w:rsidP="00AC47E4">
      <w:pPr>
        <w:pStyle w:val="Heading1"/>
      </w:pPr>
      <w:bookmarkStart w:id="75" w:name="_Ref186795454"/>
      <w:bookmarkStart w:id="76" w:name="_Toc189746914"/>
      <w:bookmarkStart w:id="77" w:name="_Toc189840340"/>
      <w:r>
        <w:lastRenderedPageBreak/>
        <w:t>Appendix A</w:t>
      </w:r>
      <w:bookmarkEnd w:id="75"/>
      <w:bookmarkEnd w:id="76"/>
      <w:bookmarkEnd w:id="77"/>
    </w:p>
    <w:p w14:paraId="55D090C6" w14:textId="0AC8CE4A" w:rsidR="000D13E6" w:rsidRPr="00406995" w:rsidRDefault="00316184" w:rsidP="000D13E6">
      <w:pPr>
        <w:rPr>
          <w:rFonts w:asciiTheme="majorHAnsi" w:hAnsiTheme="majorHAnsi"/>
          <w:color w:val="153D63" w:themeColor="text2" w:themeTint="E6"/>
          <w:sz w:val="40"/>
          <w:szCs w:val="40"/>
        </w:rPr>
      </w:pPr>
      <w:r w:rsidRPr="00406995">
        <w:rPr>
          <w:rFonts w:asciiTheme="majorHAnsi" w:hAnsiTheme="majorHAnsi"/>
          <w:color w:val="153D63" w:themeColor="text2" w:themeTint="E6"/>
          <w:sz w:val="40"/>
          <w:szCs w:val="40"/>
        </w:rPr>
        <w:t>Markets+ Must-</w:t>
      </w:r>
      <w:r w:rsidR="00406995" w:rsidRPr="00406995">
        <w:rPr>
          <w:rFonts w:asciiTheme="majorHAnsi" w:hAnsiTheme="majorHAnsi"/>
          <w:color w:val="153D63" w:themeColor="text2" w:themeTint="E6"/>
          <w:sz w:val="40"/>
          <w:szCs w:val="40"/>
        </w:rPr>
        <w:t>Off Protocols</w:t>
      </w:r>
    </w:p>
    <w:p w14:paraId="6E81DB6B" w14:textId="77777777" w:rsidR="00BE542F" w:rsidRDefault="00BE542F" w:rsidP="00BE542F">
      <w:pPr>
        <w:pStyle w:val="paragraph"/>
        <w:spacing w:before="0" w:beforeAutospacing="0" w:after="0" w:afterAutospacing="0"/>
        <w:ind w:left="720"/>
        <w:textAlignment w:val="baseline"/>
        <w:rPr>
          <w:rFonts w:ascii="Segoe UI" w:hAnsi="Segoe UI" w:cs="Segoe UI"/>
          <w:caps/>
          <w:color w:val="2399BB"/>
          <w:sz w:val="18"/>
          <w:szCs w:val="18"/>
        </w:rPr>
      </w:pPr>
      <w:r>
        <w:rPr>
          <w:rStyle w:val="normaltextrun"/>
          <w:rFonts w:ascii="Segoe UI Semibold" w:eastAsiaTheme="majorEastAsia" w:hAnsi="Segoe UI Semibold" w:cs="Segoe UI Semibold"/>
          <w:caps/>
          <w:color w:val="2399BB"/>
          <w:sz w:val="28"/>
          <w:szCs w:val="28"/>
        </w:rPr>
        <w:t>DATE: </w:t>
      </w:r>
      <w:r>
        <w:rPr>
          <w:rStyle w:val="eop"/>
          <w:rFonts w:ascii="Segoe UI Semibold" w:eastAsiaTheme="majorEastAsia" w:hAnsi="Segoe UI Semibold" w:cs="Segoe UI Semibold"/>
          <w:caps/>
          <w:sz w:val="28"/>
          <w:szCs w:val="28"/>
        </w:rPr>
        <w:t>08/06/2024</w:t>
      </w:r>
    </w:p>
    <w:p w14:paraId="06CB875E" w14:textId="77777777" w:rsidR="00BE542F" w:rsidRDefault="00BE542F" w:rsidP="00BE542F">
      <w:pPr>
        <w:pStyle w:val="paragraph"/>
        <w:spacing w:before="0" w:beforeAutospacing="0" w:after="0" w:afterAutospacing="0"/>
        <w:ind w:left="720"/>
        <w:textAlignment w:val="baseline"/>
        <w:rPr>
          <w:rFonts w:ascii="Segoe UI" w:hAnsi="Segoe UI" w:cs="Segoe UI"/>
          <w:caps/>
          <w:color w:val="2399BB"/>
          <w:sz w:val="18"/>
          <w:szCs w:val="18"/>
        </w:rPr>
      </w:pPr>
      <w:r>
        <w:rPr>
          <w:rStyle w:val="normaltextrun"/>
          <w:rFonts w:ascii="Segoe UI Semibold" w:eastAsiaTheme="majorEastAsia" w:hAnsi="Segoe UI Semibold" w:cs="Segoe UI Semibold"/>
          <w:caps/>
          <w:color w:val="2399BB"/>
          <w:sz w:val="28"/>
          <w:szCs w:val="28"/>
        </w:rPr>
        <w:t>IMPACTED WG/TF:</w:t>
      </w:r>
      <w:r>
        <w:rPr>
          <w:rStyle w:val="eop"/>
          <w:rFonts w:ascii="Segoe UI Semibold" w:eastAsiaTheme="majorEastAsia" w:hAnsi="Segoe UI Semibold" w:cs="Segoe UI Semibold"/>
          <w:caps/>
          <w:color w:val="2399BB"/>
          <w:sz w:val="28"/>
          <w:szCs w:val="28"/>
        </w:rPr>
        <w:t> </w:t>
      </w:r>
      <w:r>
        <w:rPr>
          <w:rStyle w:val="eop"/>
          <w:rFonts w:ascii="Segoe UI Semibold" w:eastAsiaTheme="majorEastAsia" w:hAnsi="Segoe UI Semibold" w:cs="Segoe UI Semibold"/>
          <w:caps/>
          <w:sz w:val="28"/>
          <w:szCs w:val="28"/>
        </w:rPr>
        <w:t xml:space="preserve">MRATF </w:t>
      </w:r>
    </w:p>
    <w:p w14:paraId="4914DF6A" w14:textId="77777777" w:rsidR="00BE542F" w:rsidRDefault="00BE542F" w:rsidP="00BE542F">
      <w:pPr>
        <w:pStyle w:val="paragraph"/>
        <w:spacing w:before="0" w:beforeAutospacing="0" w:after="0" w:afterAutospacing="0"/>
        <w:ind w:left="720"/>
        <w:textAlignment w:val="baseline"/>
        <w:rPr>
          <w:rFonts w:ascii="Segoe UI" w:hAnsi="Segoe UI" w:cs="Segoe UI"/>
          <w:caps/>
          <w:color w:val="2399BB"/>
          <w:sz w:val="18"/>
          <w:szCs w:val="18"/>
        </w:rPr>
      </w:pPr>
      <w:r>
        <w:rPr>
          <w:rStyle w:val="normaltextrun"/>
          <w:rFonts w:ascii="Segoe UI Semibold" w:eastAsiaTheme="majorEastAsia" w:hAnsi="Segoe UI Semibold" w:cs="Segoe UI Semibold"/>
          <w:caps/>
          <w:color w:val="2399BB"/>
          <w:sz w:val="28"/>
          <w:szCs w:val="28"/>
        </w:rPr>
        <w:t>SUBJECT AREA: </w:t>
      </w:r>
      <w:r>
        <w:rPr>
          <w:rStyle w:val="eop"/>
          <w:rFonts w:ascii="Segoe UI Semibold" w:eastAsiaTheme="majorEastAsia" w:hAnsi="Segoe UI Semibold" w:cs="Segoe UI Semibold"/>
          <w:caps/>
          <w:sz w:val="28"/>
          <w:szCs w:val="28"/>
        </w:rPr>
        <w:t>Design</w:t>
      </w:r>
    </w:p>
    <w:p w14:paraId="40CBBD2D" w14:textId="77777777" w:rsidR="00BE542F" w:rsidRDefault="00BE542F" w:rsidP="00BE542F">
      <w:pPr>
        <w:pStyle w:val="paragraph"/>
        <w:spacing w:before="0" w:beforeAutospacing="0" w:after="0" w:afterAutospacing="0"/>
        <w:ind w:left="720"/>
        <w:textAlignment w:val="baseline"/>
        <w:rPr>
          <w:rFonts w:ascii="Segoe UI" w:hAnsi="Segoe UI" w:cs="Segoe UI"/>
          <w:caps/>
          <w:color w:val="2399BB"/>
          <w:sz w:val="18"/>
          <w:szCs w:val="18"/>
        </w:rPr>
      </w:pPr>
      <w:r>
        <w:rPr>
          <w:rStyle w:val="normaltextrun"/>
          <w:rFonts w:ascii="Segoe UI Semibold" w:eastAsiaTheme="majorEastAsia" w:hAnsi="Segoe UI Semibold" w:cs="Segoe UI Semibold"/>
          <w:caps/>
          <w:color w:val="2399BB"/>
          <w:sz w:val="28"/>
          <w:szCs w:val="28"/>
        </w:rPr>
        <w:t xml:space="preserve">MARKETS+ TARIFF </w:t>
      </w:r>
      <w:r>
        <w:rPr>
          <w:rStyle w:val="tabchar"/>
          <w:rFonts w:ascii="Calibri" w:eastAsiaTheme="majorEastAsia" w:hAnsi="Calibri" w:cs="Calibri"/>
          <w:caps/>
          <w:color w:val="2399BB"/>
          <w:sz w:val="28"/>
          <w:szCs w:val="28"/>
        </w:rPr>
        <w:tab/>
      </w:r>
      <w:r>
        <w:rPr>
          <w:rStyle w:val="eop"/>
          <w:rFonts w:ascii="Segoe UI Semibold" w:eastAsiaTheme="majorEastAsia" w:hAnsi="Segoe UI Semibold" w:cs="Segoe UI Semibold"/>
          <w:caps/>
          <w:color w:val="2399BB"/>
          <w:sz w:val="28"/>
          <w:szCs w:val="28"/>
        </w:rPr>
        <w:t> </w:t>
      </w:r>
    </w:p>
    <w:p w14:paraId="63252EC1" w14:textId="77777777" w:rsidR="00BE542F" w:rsidRDefault="00BE542F" w:rsidP="006247A6">
      <w:pPr>
        <w:pStyle w:val="paragraph"/>
        <w:numPr>
          <w:ilvl w:val="0"/>
          <w:numId w:val="10"/>
        </w:numPr>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b/>
          <w:bCs/>
          <w:sz w:val="28"/>
          <w:szCs w:val="28"/>
        </w:rPr>
        <w:t>Attachment A:</w:t>
      </w:r>
      <w:r>
        <w:rPr>
          <w:rStyle w:val="normaltextrun"/>
          <w:rFonts w:ascii="Segoe UI" w:eastAsiaTheme="majorEastAsia" w:hAnsi="Segoe UI" w:cs="Segoe UI"/>
          <w:sz w:val="28"/>
          <w:szCs w:val="28"/>
        </w:rPr>
        <w:t xml:space="preserve"> </w:t>
      </w:r>
      <w:proofErr w:type="gramStart"/>
      <w:r>
        <w:rPr>
          <w:rStyle w:val="normaltextrun"/>
          <w:rFonts w:ascii="Segoe UI" w:eastAsiaTheme="majorEastAsia" w:hAnsi="Segoe UI" w:cs="Segoe UI"/>
          <w:sz w:val="28"/>
          <w:szCs w:val="28"/>
        </w:rPr>
        <w:t>5.1.1  &amp;</w:t>
      </w:r>
      <w:proofErr w:type="gramEnd"/>
      <w:r>
        <w:rPr>
          <w:rStyle w:val="normaltextrun"/>
          <w:rFonts w:ascii="Segoe UI" w:eastAsiaTheme="majorEastAsia" w:hAnsi="Segoe UI" w:cs="Segoe UI"/>
          <w:sz w:val="28"/>
          <w:szCs w:val="28"/>
        </w:rPr>
        <w:t xml:space="preserve"> 5.1.2  </w:t>
      </w:r>
    </w:p>
    <w:p w14:paraId="247F7FED" w14:textId="77777777" w:rsidR="00BE542F" w:rsidRDefault="00BE542F" w:rsidP="00BE542F">
      <w:pPr>
        <w:pStyle w:val="paragraph"/>
        <w:spacing w:before="0" w:beforeAutospacing="0" w:after="0" w:afterAutospacing="0"/>
        <w:ind w:left="720"/>
        <w:textAlignment w:val="baseline"/>
        <w:rPr>
          <w:rFonts w:ascii="Segoe UI" w:hAnsi="Segoe UI" w:cs="Segoe UI"/>
          <w:caps/>
          <w:color w:val="2399BB"/>
          <w:sz w:val="18"/>
          <w:szCs w:val="18"/>
        </w:rPr>
      </w:pPr>
      <w:r>
        <w:rPr>
          <w:rStyle w:val="normaltextrun"/>
          <w:rFonts w:ascii="Segoe UI Semibold" w:eastAsiaTheme="majorEastAsia" w:hAnsi="Segoe UI Semibold" w:cs="Segoe UI Semibold"/>
          <w:caps/>
          <w:color w:val="2399BB"/>
          <w:sz w:val="28"/>
          <w:szCs w:val="28"/>
        </w:rPr>
        <w:t>MARKETS+ PROTOCOLS</w:t>
      </w:r>
      <w:r>
        <w:rPr>
          <w:rStyle w:val="eop"/>
          <w:rFonts w:ascii="Segoe UI Semibold" w:eastAsiaTheme="majorEastAsia" w:hAnsi="Segoe UI Semibold" w:cs="Segoe UI Semibold"/>
          <w:caps/>
          <w:color w:val="2399BB"/>
          <w:sz w:val="28"/>
          <w:szCs w:val="28"/>
        </w:rPr>
        <w:t> </w:t>
      </w:r>
    </w:p>
    <w:p w14:paraId="4A5B6A75" w14:textId="77777777" w:rsidR="00BE542F" w:rsidRDefault="00BE542F" w:rsidP="006247A6">
      <w:pPr>
        <w:pStyle w:val="paragraph"/>
        <w:numPr>
          <w:ilvl w:val="0"/>
          <w:numId w:val="11"/>
        </w:numPr>
        <w:spacing w:before="0" w:beforeAutospacing="0" w:after="0" w:afterAutospacing="0"/>
        <w:textAlignment w:val="baseline"/>
        <w:rPr>
          <w:rFonts w:ascii="Segoe UI" w:hAnsi="Segoe UI" w:cs="Segoe UI"/>
          <w:sz w:val="22"/>
          <w:szCs w:val="22"/>
        </w:rPr>
      </w:pPr>
      <w:r>
        <w:rPr>
          <w:rStyle w:val="eop"/>
          <w:rFonts w:ascii="Segoe UI" w:eastAsiaTheme="majorEastAsia" w:hAnsi="Segoe UI" w:cs="Segoe UI"/>
          <w:sz w:val="28"/>
          <w:szCs w:val="28"/>
        </w:rPr>
        <w:t>4.2.1</w:t>
      </w:r>
    </w:p>
    <w:p w14:paraId="300FEFA9" w14:textId="77777777" w:rsidR="00BE542F" w:rsidRDefault="00BE542F" w:rsidP="00BE542F">
      <w:pPr>
        <w:pStyle w:val="ListParagraph"/>
        <w:spacing w:before="120"/>
        <w:rPr>
          <w:rStyle w:val="normaltextrun"/>
          <w:rFonts w:ascii="Segoe UI Semibold" w:eastAsiaTheme="majorEastAsia" w:hAnsi="Segoe UI Semibold" w:cs="Segoe UI Semibold"/>
          <w:caps/>
          <w:color w:val="2399BB"/>
          <w:sz w:val="28"/>
          <w:szCs w:val="28"/>
        </w:rPr>
      </w:pPr>
    </w:p>
    <w:p w14:paraId="6E69E21C" w14:textId="77777777" w:rsidR="00BE542F" w:rsidRDefault="00BE542F" w:rsidP="00BE542F">
      <w:pPr>
        <w:pStyle w:val="ListParagraph"/>
        <w:spacing w:before="120"/>
        <w:rPr>
          <w:szCs w:val="24"/>
        </w:rPr>
      </w:pPr>
      <w:r>
        <w:rPr>
          <w:rStyle w:val="normaltextrun"/>
          <w:rFonts w:ascii="Segoe UI Semibold" w:eastAsiaTheme="majorEastAsia" w:hAnsi="Segoe UI Semibold" w:cs="Segoe UI Semibold"/>
          <w:caps/>
          <w:color w:val="2399BB"/>
          <w:sz w:val="28"/>
          <w:szCs w:val="28"/>
        </w:rPr>
        <w:t xml:space="preserve">MARKETS+ TARIFF </w:t>
      </w:r>
    </w:p>
    <w:p w14:paraId="6F144375" w14:textId="77777777" w:rsidR="00BE542F" w:rsidRDefault="00BE542F" w:rsidP="00BE542F">
      <w:pPr>
        <w:pStyle w:val="ListParagraph"/>
        <w:spacing w:before="120"/>
        <w:rPr>
          <w:szCs w:val="24"/>
        </w:rPr>
      </w:pPr>
    </w:p>
    <w:p w14:paraId="776CBFEF" w14:textId="77777777" w:rsidR="00BE542F" w:rsidRPr="008024F3" w:rsidRDefault="00BE542F" w:rsidP="00BE542F">
      <w:pPr>
        <w:pStyle w:val="ListParagraph"/>
        <w:spacing w:before="120"/>
        <w:rPr>
          <w:szCs w:val="24"/>
        </w:rPr>
      </w:pPr>
      <w:r w:rsidRPr="008024F3">
        <w:rPr>
          <w:szCs w:val="24"/>
        </w:rPr>
        <w:t>5.1.1</w:t>
      </w:r>
      <w:r w:rsidRPr="008024F3">
        <w:rPr>
          <w:szCs w:val="24"/>
        </w:rPr>
        <w:tab/>
        <w:t>Day-Ahead Market and Reliability Unit Commitment</w:t>
      </w:r>
    </w:p>
    <w:p w14:paraId="220C2B56" w14:textId="77777777" w:rsidR="00BE542F" w:rsidRPr="008024F3" w:rsidRDefault="00BE542F" w:rsidP="00BE542F">
      <w:pPr>
        <w:pStyle w:val="ListParagraph"/>
        <w:spacing w:before="120"/>
        <w:rPr>
          <w:szCs w:val="24"/>
        </w:rPr>
      </w:pPr>
    </w:p>
    <w:p w14:paraId="47E7514B" w14:textId="77777777" w:rsidR="00BE542F" w:rsidRPr="008024F3" w:rsidRDefault="00BE542F" w:rsidP="00BE542F">
      <w:pPr>
        <w:pStyle w:val="ListParagraph"/>
        <w:spacing w:before="120"/>
        <w:rPr>
          <w:szCs w:val="24"/>
        </w:rPr>
      </w:pPr>
      <w:r w:rsidRPr="008024F3">
        <w:rPr>
          <w:szCs w:val="24"/>
        </w:rPr>
        <w:t xml:space="preserve">Market Participants are required to offer a minimum amount of Resource capacity to the Day-Ahead Market. Market Participants must make available that same minimum amount of Resource capacity to the initial RUC process after the Day-Ahead Market closes. A Market Participant’s Resource capacity is the sum of the offered capacities of Resources with a commitment status of Market, Self, or Reliability Must Run as </w:t>
      </w:r>
      <w:proofErr w:type="gramStart"/>
      <w:r w:rsidRPr="008024F3">
        <w:rPr>
          <w:szCs w:val="24"/>
        </w:rPr>
        <w:t>described</w:t>
      </w:r>
      <w:proofErr w:type="gramEnd"/>
      <w:r w:rsidRPr="008024F3">
        <w:rPr>
          <w:szCs w:val="24"/>
        </w:rPr>
        <w:t xml:space="preserve"> in Attachment A, Section 4.1. After satisfying the must offer obligation, a Market Participant may offer any remaining Energy or capacity to the market at its discretion. Market Participants satisfy this Day-Ahead must offer requirement by meeting the criteria set forth below (A) during non- binding seasons, and the lesser of (A) or (B) below in binding seasons, as defined in the Resource Adequacy Program. During the binding season, </w:t>
      </w:r>
      <w:proofErr w:type="gramStart"/>
      <w:r w:rsidRPr="008024F3">
        <w:rPr>
          <w:szCs w:val="24"/>
        </w:rPr>
        <w:t>in the event that</w:t>
      </w:r>
      <w:proofErr w:type="gramEnd"/>
      <w:r w:rsidRPr="008024F3">
        <w:rPr>
          <w:szCs w:val="24"/>
        </w:rPr>
        <w:t xml:space="preserve"> the calculation of (A) exceeds (B), the capacity amount determined under (B) will act as a ceiling on the Market Participant’s must offer requirement, as (B) represents the maximum amount the Market Participant is required to offer to Markets+.</w:t>
      </w:r>
    </w:p>
    <w:p w14:paraId="102675ED" w14:textId="77777777" w:rsidR="00BE542F" w:rsidRPr="008024F3" w:rsidRDefault="00BE542F" w:rsidP="00BE542F">
      <w:pPr>
        <w:pStyle w:val="ListParagraph"/>
        <w:spacing w:before="120"/>
        <w:rPr>
          <w:szCs w:val="24"/>
        </w:rPr>
      </w:pPr>
    </w:p>
    <w:p w14:paraId="2E86CA1C" w14:textId="77777777" w:rsidR="00BE542F" w:rsidRPr="008024F3" w:rsidRDefault="00BE542F" w:rsidP="00BE542F">
      <w:pPr>
        <w:pStyle w:val="ListParagraph"/>
        <w:spacing w:before="120"/>
        <w:rPr>
          <w:szCs w:val="24"/>
        </w:rPr>
      </w:pPr>
      <w:r w:rsidRPr="008024F3">
        <w:rPr>
          <w:szCs w:val="24"/>
        </w:rPr>
        <w:t>(A)</w:t>
      </w:r>
      <w:r w:rsidRPr="008024F3">
        <w:rPr>
          <w:szCs w:val="24"/>
        </w:rPr>
        <w:tab/>
        <w:t>Each Market Participant will satisfy the must offer obligation by offering resource capacity greater than or equal to the sum of that Market Participant’s (1) load and (2) Flexibility Reserve Products obligations, adjusted by (3) obligations to supply to or rights to receive from the Resource Adequacy Program and adjusted by (4) net position for each Operating Hour based on the following criteria:</w:t>
      </w:r>
    </w:p>
    <w:p w14:paraId="040452D1" w14:textId="77777777" w:rsidR="00BE542F" w:rsidRPr="008024F3" w:rsidRDefault="00BE542F" w:rsidP="00BE542F">
      <w:pPr>
        <w:pStyle w:val="ListParagraph"/>
        <w:spacing w:before="120"/>
        <w:ind w:left="1440"/>
        <w:rPr>
          <w:szCs w:val="24"/>
        </w:rPr>
      </w:pPr>
      <w:r w:rsidRPr="008024F3">
        <w:rPr>
          <w:szCs w:val="24"/>
        </w:rPr>
        <w:t>(1)</w:t>
      </w:r>
      <w:r w:rsidRPr="008024F3">
        <w:rPr>
          <w:szCs w:val="24"/>
        </w:rPr>
        <w:tab/>
        <w:t>A Market Participant’s load for purposes of this section will be equal to the hourly load forecast for the Market Participant for use in the RUC processes and RTBM, as described in Attachment A, Section 7.5.</w:t>
      </w:r>
    </w:p>
    <w:p w14:paraId="34E9C9B5" w14:textId="77777777" w:rsidR="00BE542F" w:rsidRPr="008024F3" w:rsidRDefault="00BE542F" w:rsidP="00BE542F">
      <w:pPr>
        <w:pStyle w:val="ListParagraph"/>
        <w:spacing w:before="120"/>
        <w:ind w:left="1440"/>
        <w:rPr>
          <w:szCs w:val="24"/>
        </w:rPr>
      </w:pPr>
      <w:r w:rsidRPr="008024F3">
        <w:rPr>
          <w:szCs w:val="24"/>
        </w:rPr>
        <w:lastRenderedPageBreak/>
        <w:t>(2)</w:t>
      </w:r>
      <w:r w:rsidRPr="008024F3">
        <w:rPr>
          <w:szCs w:val="24"/>
        </w:rPr>
        <w:tab/>
        <w:t>A Market Participant’s hourly Flexibility Reserve Products obligation will be equal to the sum of that Market Participant’s Short-Term Flex Up and Mid-Term Flex Up obligations as estimated by the Market Operator in accordance with Attachment A, Section 7.4.</w:t>
      </w:r>
    </w:p>
    <w:p w14:paraId="07EBFDEC" w14:textId="77777777" w:rsidR="00BE542F" w:rsidRPr="008024F3" w:rsidRDefault="00BE542F" w:rsidP="00BE542F">
      <w:pPr>
        <w:pStyle w:val="ListParagraph"/>
        <w:spacing w:before="120"/>
        <w:ind w:left="1440"/>
        <w:rPr>
          <w:szCs w:val="24"/>
        </w:rPr>
      </w:pPr>
      <w:r w:rsidRPr="008024F3">
        <w:rPr>
          <w:szCs w:val="24"/>
        </w:rPr>
        <w:t>(3)</w:t>
      </w:r>
      <w:r w:rsidRPr="008024F3">
        <w:rPr>
          <w:szCs w:val="24"/>
        </w:rPr>
        <w:tab/>
        <w:t>A Market Participant’s obligation to supply to or right to receive energy from the Resource Adequacy Program is described in the Markets+ Protocols.</w:t>
      </w:r>
    </w:p>
    <w:p w14:paraId="0379000F" w14:textId="77777777" w:rsidR="00BE542F" w:rsidRPr="008024F3" w:rsidRDefault="00BE542F" w:rsidP="00BE542F">
      <w:pPr>
        <w:pStyle w:val="ListParagraph"/>
        <w:spacing w:before="120"/>
        <w:rPr>
          <w:szCs w:val="24"/>
        </w:rPr>
      </w:pPr>
      <w:r w:rsidRPr="008024F3">
        <w:rPr>
          <w:szCs w:val="24"/>
        </w:rPr>
        <w:t xml:space="preserve"> </w:t>
      </w:r>
    </w:p>
    <w:p w14:paraId="5403F133" w14:textId="77777777" w:rsidR="00BE542F" w:rsidRPr="008024F3" w:rsidRDefault="00BE542F" w:rsidP="00BE542F">
      <w:pPr>
        <w:pStyle w:val="ListParagraph"/>
        <w:spacing w:before="120"/>
        <w:ind w:left="1440"/>
        <w:rPr>
          <w:szCs w:val="24"/>
        </w:rPr>
      </w:pPr>
      <w:r w:rsidRPr="008024F3">
        <w:rPr>
          <w:szCs w:val="24"/>
        </w:rPr>
        <w:t>(4)</w:t>
      </w:r>
      <w:r w:rsidRPr="008024F3">
        <w:rPr>
          <w:szCs w:val="24"/>
        </w:rPr>
        <w:tab/>
        <w:t>A Market Participant’s net position is forward purchases minus forward sales impacting an LRE’s load obligation, as described in the Markets+ Protocols.</w:t>
      </w:r>
    </w:p>
    <w:p w14:paraId="364922BF" w14:textId="77777777" w:rsidR="00BE542F" w:rsidRPr="008024F3" w:rsidRDefault="00BE542F" w:rsidP="00BE542F">
      <w:pPr>
        <w:pStyle w:val="ListParagraph"/>
        <w:spacing w:before="120"/>
        <w:ind w:left="1440"/>
        <w:rPr>
          <w:szCs w:val="24"/>
        </w:rPr>
      </w:pPr>
      <w:r w:rsidRPr="008024F3">
        <w:rPr>
          <w:szCs w:val="24"/>
        </w:rPr>
        <w:t>(5)</w:t>
      </w:r>
      <w:r w:rsidRPr="008024F3">
        <w:rPr>
          <w:szCs w:val="24"/>
        </w:rPr>
        <w:tab/>
        <w:t>The Resource capacity for a Market Participant is reduced by the total Self-Charging MWs of all MSRs registered to that Market Participant for the Operating Hour.</w:t>
      </w:r>
    </w:p>
    <w:p w14:paraId="2EC6BE79" w14:textId="77777777" w:rsidR="00BE542F" w:rsidRPr="008024F3" w:rsidRDefault="00BE542F" w:rsidP="00BE542F">
      <w:pPr>
        <w:pStyle w:val="ListParagraph"/>
        <w:spacing w:before="120"/>
        <w:rPr>
          <w:szCs w:val="24"/>
        </w:rPr>
      </w:pPr>
    </w:p>
    <w:p w14:paraId="1985ED91" w14:textId="77777777" w:rsidR="00BE542F" w:rsidRPr="008024F3" w:rsidRDefault="00BE542F" w:rsidP="00BE542F">
      <w:pPr>
        <w:pStyle w:val="ListParagraph"/>
        <w:spacing w:before="120"/>
        <w:rPr>
          <w:szCs w:val="24"/>
        </w:rPr>
      </w:pPr>
      <w:r w:rsidRPr="008024F3">
        <w:rPr>
          <w:szCs w:val="24"/>
        </w:rPr>
        <w:t>(B)</w:t>
      </w:r>
      <w:r w:rsidRPr="008024F3">
        <w:rPr>
          <w:szCs w:val="24"/>
        </w:rPr>
        <w:tab/>
        <w:t>Each Market Participant will satisfy the maximum must offer obligation by offering Resource capacity greater than or equal to the Market Participant’s (1) Resource Adequacy Program forward showing requirement during a binding season as defined by the Resource Adequacy Program, adjusted by (2) any obligations to further supply to or rights to receive energy from the Resource Adequacy Program, adjusted by (3) net position, and adjusted for (4) day-ahead forecasted fleet performance based on the following criteria:</w:t>
      </w:r>
    </w:p>
    <w:p w14:paraId="41F7A3B3" w14:textId="77777777" w:rsidR="00BE542F" w:rsidRPr="008024F3" w:rsidRDefault="00BE542F" w:rsidP="00BE542F">
      <w:pPr>
        <w:pStyle w:val="ListParagraph"/>
        <w:spacing w:before="120"/>
        <w:rPr>
          <w:szCs w:val="24"/>
        </w:rPr>
      </w:pPr>
    </w:p>
    <w:p w14:paraId="544FE391" w14:textId="77777777" w:rsidR="00BE542F" w:rsidRPr="008024F3" w:rsidRDefault="00BE542F" w:rsidP="00BE542F">
      <w:pPr>
        <w:pStyle w:val="ListParagraph"/>
        <w:spacing w:before="120"/>
        <w:ind w:left="1440"/>
        <w:rPr>
          <w:szCs w:val="24"/>
        </w:rPr>
      </w:pPr>
      <w:r w:rsidRPr="008024F3">
        <w:rPr>
          <w:szCs w:val="24"/>
        </w:rPr>
        <w:t>(1)</w:t>
      </w:r>
      <w:r w:rsidRPr="008024F3">
        <w:rPr>
          <w:szCs w:val="24"/>
        </w:rPr>
        <w:tab/>
        <w:t>A Market Participant’s forward showing requirement is the quantity of capacity required to demonstrate adequacy for the Resource Adequacy Program for each Operating Day during a binding season.</w:t>
      </w:r>
    </w:p>
    <w:p w14:paraId="17DA0DD7" w14:textId="77777777" w:rsidR="00BE542F" w:rsidRPr="008024F3" w:rsidRDefault="00BE542F" w:rsidP="00BE542F">
      <w:pPr>
        <w:pStyle w:val="ListParagraph"/>
        <w:spacing w:before="120"/>
        <w:ind w:left="1440"/>
        <w:rPr>
          <w:szCs w:val="24"/>
        </w:rPr>
      </w:pPr>
      <w:r w:rsidRPr="008024F3">
        <w:rPr>
          <w:szCs w:val="24"/>
        </w:rPr>
        <w:t>(2)</w:t>
      </w:r>
      <w:r w:rsidRPr="008024F3">
        <w:rPr>
          <w:szCs w:val="24"/>
        </w:rPr>
        <w:tab/>
        <w:t xml:space="preserve">A Market Participant’s obligation to supply or rights to receive energy from the Resource Adequacy Program, </w:t>
      </w:r>
      <w:r w:rsidRPr="00DA4E3E">
        <w:rPr>
          <w:szCs w:val="24"/>
        </w:rPr>
        <w:t>is described in the Markets+ Protocols.</w:t>
      </w:r>
    </w:p>
    <w:p w14:paraId="2351B49E" w14:textId="77777777" w:rsidR="00BE542F" w:rsidRPr="008024F3" w:rsidRDefault="00BE542F" w:rsidP="00BE542F">
      <w:pPr>
        <w:pStyle w:val="ListParagraph"/>
        <w:spacing w:before="120"/>
        <w:ind w:left="1440"/>
        <w:rPr>
          <w:szCs w:val="24"/>
        </w:rPr>
      </w:pPr>
      <w:r w:rsidRPr="008024F3">
        <w:rPr>
          <w:szCs w:val="24"/>
        </w:rPr>
        <w:t>(3)</w:t>
      </w:r>
      <w:r w:rsidRPr="008024F3">
        <w:rPr>
          <w:szCs w:val="24"/>
        </w:rPr>
        <w:tab/>
        <w:t xml:space="preserve">A Market Participant’s net position is forward purchases minus forward sales impacting an LRE’s load obligation, </w:t>
      </w:r>
      <w:r w:rsidRPr="00DA4E3E">
        <w:rPr>
          <w:szCs w:val="24"/>
        </w:rPr>
        <w:t>as described in the Markets+ Protocols.</w:t>
      </w:r>
    </w:p>
    <w:p w14:paraId="108ADE21" w14:textId="77777777" w:rsidR="00BE542F" w:rsidRPr="008024F3" w:rsidRDefault="00BE542F" w:rsidP="00BE542F">
      <w:pPr>
        <w:pStyle w:val="ListParagraph"/>
        <w:spacing w:before="120"/>
        <w:ind w:left="1440"/>
        <w:rPr>
          <w:szCs w:val="24"/>
        </w:rPr>
      </w:pPr>
      <w:r w:rsidRPr="008024F3">
        <w:rPr>
          <w:szCs w:val="24"/>
        </w:rPr>
        <w:t>(4)</w:t>
      </w:r>
      <w:r w:rsidRPr="008024F3">
        <w:rPr>
          <w:szCs w:val="24"/>
        </w:rPr>
        <w:tab/>
        <w:t xml:space="preserve">A Market Participant’s adjustment for forecasted day ahead fleet performance is the sum of any forced outages, unplanned unavailability and unplanned change of capacity of Resources registered to the Market Participant for the Operating </w:t>
      </w:r>
      <w:proofErr w:type="gramStart"/>
      <w:r w:rsidRPr="008024F3">
        <w:rPr>
          <w:szCs w:val="24"/>
        </w:rPr>
        <w:t xml:space="preserve">Hour, </w:t>
      </w:r>
      <w:r w:rsidRPr="00DA4E3E">
        <w:rPr>
          <w:szCs w:val="24"/>
        </w:rPr>
        <w:t>and</w:t>
      </w:r>
      <w:proofErr w:type="gramEnd"/>
      <w:r w:rsidRPr="00DA4E3E">
        <w:rPr>
          <w:szCs w:val="24"/>
        </w:rPr>
        <w:t xml:space="preserve"> further described in the Markets+ Protocols</w:t>
      </w:r>
      <w:r w:rsidRPr="008024F3">
        <w:rPr>
          <w:szCs w:val="24"/>
        </w:rPr>
        <w:t>.</w:t>
      </w:r>
    </w:p>
    <w:p w14:paraId="3A784B77" w14:textId="77777777" w:rsidR="00BE542F" w:rsidRPr="008024F3" w:rsidRDefault="00BE542F" w:rsidP="00BE542F">
      <w:pPr>
        <w:pStyle w:val="ListParagraph"/>
        <w:spacing w:before="120"/>
        <w:rPr>
          <w:szCs w:val="24"/>
        </w:rPr>
      </w:pPr>
    </w:p>
    <w:p w14:paraId="33F3E5E7" w14:textId="77777777" w:rsidR="00BE542F" w:rsidRPr="00ED5B30" w:rsidRDefault="00BE542F" w:rsidP="00BE542F">
      <w:pPr>
        <w:pStyle w:val="ListParagraph"/>
        <w:spacing w:before="120"/>
      </w:pPr>
      <w:r w:rsidRPr="008024F3">
        <w:rPr>
          <w:szCs w:val="24"/>
        </w:rPr>
        <w:t>(C)</w:t>
      </w:r>
      <w:r w:rsidRPr="008024F3">
        <w:rPr>
          <w:szCs w:val="24"/>
        </w:rPr>
        <w:tab/>
        <w:t>To the extent that a Market Participant does not meet the conditions described in Sections 5.1.1(A) or (B), the Market Participant will be deemed noncompliant with the must offer</w:t>
      </w:r>
      <w:r>
        <w:rPr>
          <w:szCs w:val="24"/>
        </w:rPr>
        <w:t xml:space="preserve"> </w:t>
      </w:r>
      <w:r w:rsidRPr="00ED5B30">
        <w:t>obligation for that hour. The Market Operator will assess a penalty amount equal to the product of the shortfall capacity and the associated Day-Ahead Market LMP as described below.</w:t>
      </w:r>
    </w:p>
    <w:p w14:paraId="2EC7A84F" w14:textId="77777777" w:rsidR="00BE542F" w:rsidRPr="008024F3" w:rsidRDefault="00BE542F" w:rsidP="00BE542F">
      <w:pPr>
        <w:pStyle w:val="ListParagraph"/>
        <w:spacing w:before="120"/>
        <w:rPr>
          <w:szCs w:val="24"/>
        </w:rPr>
      </w:pPr>
      <w:r w:rsidRPr="008024F3">
        <w:rPr>
          <w:szCs w:val="24"/>
        </w:rPr>
        <w:lastRenderedPageBreak/>
        <w:t>(1)</w:t>
      </w:r>
      <w:r w:rsidRPr="008024F3">
        <w:rPr>
          <w:szCs w:val="24"/>
        </w:rPr>
        <w:tab/>
        <w:t>A Market Participant’s shortfall capacity for an Operating Hour is equal to the lesser of the difference between the resource capacity and Day-Ahead Market must offer obligation, as described above in Section 5.1.1(A) and (B).</w:t>
      </w:r>
    </w:p>
    <w:p w14:paraId="3C90ACED" w14:textId="77777777" w:rsidR="00BE542F" w:rsidRPr="008024F3" w:rsidRDefault="00BE542F" w:rsidP="00BE542F">
      <w:pPr>
        <w:pStyle w:val="ListParagraph"/>
        <w:spacing w:before="120"/>
        <w:ind w:left="1440"/>
        <w:rPr>
          <w:szCs w:val="24"/>
        </w:rPr>
      </w:pPr>
      <w:r w:rsidRPr="008024F3">
        <w:rPr>
          <w:szCs w:val="24"/>
        </w:rPr>
        <w:t>(2)</w:t>
      </w:r>
      <w:r w:rsidRPr="008024F3">
        <w:rPr>
          <w:szCs w:val="24"/>
        </w:rPr>
        <w:tab/>
        <w:t>The Must Offer Penalty LMP is calculated as the average of the Day- Ahead LMP for the Market Participant’s Resources in the Operating Hour with the shortfall. If a Market Participant has no registered Resources, then the Markets+ Marginal Energy Component will be used. In no case will the penalty be less than $0.00.</w:t>
      </w:r>
    </w:p>
    <w:p w14:paraId="1546CBDA" w14:textId="77777777" w:rsidR="00BE542F" w:rsidRPr="008024F3" w:rsidRDefault="00BE542F" w:rsidP="00BE542F">
      <w:pPr>
        <w:pStyle w:val="ListParagraph"/>
        <w:spacing w:before="120"/>
        <w:ind w:left="1440"/>
        <w:rPr>
          <w:szCs w:val="24"/>
        </w:rPr>
      </w:pPr>
      <w:r w:rsidRPr="008024F3">
        <w:rPr>
          <w:szCs w:val="24"/>
        </w:rPr>
        <w:t>(3)</w:t>
      </w:r>
      <w:r w:rsidRPr="008024F3">
        <w:rPr>
          <w:szCs w:val="24"/>
        </w:rPr>
        <w:tab/>
        <w:t>The Market Operator will distribute any collected Day-Ahead must offer penalties for an Operating Hour as detailed in Attachment A</w:t>
      </w:r>
      <w:r>
        <w:rPr>
          <w:szCs w:val="24"/>
        </w:rPr>
        <w:t>,</w:t>
      </w:r>
      <w:r w:rsidRPr="008024F3">
        <w:rPr>
          <w:szCs w:val="24"/>
        </w:rPr>
        <w:t xml:space="preserve"> Section 9.2.17.</w:t>
      </w:r>
    </w:p>
    <w:p w14:paraId="5807362C" w14:textId="77777777" w:rsidR="00BE542F" w:rsidRPr="008024F3" w:rsidRDefault="00BE542F" w:rsidP="00BE542F">
      <w:pPr>
        <w:pStyle w:val="ListParagraph"/>
        <w:spacing w:before="120"/>
      </w:pPr>
      <w:r>
        <w:t xml:space="preserve"> </w:t>
      </w:r>
    </w:p>
    <w:p w14:paraId="27B616DE" w14:textId="77777777" w:rsidR="00BE542F" w:rsidRPr="008024F3" w:rsidRDefault="00BE542F" w:rsidP="00BE542F">
      <w:pPr>
        <w:pStyle w:val="ListParagraph"/>
        <w:spacing w:before="120"/>
        <w:rPr>
          <w:szCs w:val="24"/>
        </w:rPr>
      </w:pPr>
      <w:r w:rsidRPr="008024F3">
        <w:rPr>
          <w:szCs w:val="24"/>
        </w:rPr>
        <w:t>5.1.2</w:t>
      </w:r>
      <w:r w:rsidRPr="008024F3">
        <w:rPr>
          <w:szCs w:val="24"/>
        </w:rPr>
        <w:tab/>
        <w:t>Real-Time Balancing Market</w:t>
      </w:r>
    </w:p>
    <w:p w14:paraId="0F98172C" w14:textId="77777777" w:rsidR="00BE542F" w:rsidRPr="008024F3" w:rsidRDefault="00BE542F" w:rsidP="00BE542F">
      <w:pPr>
        <w:pStyle w:val="ListParagraph"/>
        <w:spacing w:before="120"/>
        <w:rPr>
          <w:szCs w:val="24"/>
        </w:rPr>
      </w:pPr>
    </w:p>
    <w:p w14:paraId="58BDA243" w14:textId="77777777" w:rsidR="00BE542F" w:rsidRPr="008024F3" w:rsidRDefault="00BE542F" w:rsidP="00BE542F">
      <w:pPr>
        <w:pStyle w:val="ListParagraph"/>
        <w:spacing w:before="120"/>
        <w:rPr>
          <w:szCs w:val="24"/>
        </w:rPr>
      </w:pPr>
      <w:r w:rsidRPr="008024F3">
        <w:rPr>
          <w:szCs w:val="24"/>
        </w:rPr>
        <w:t xml:space="preserve">Market Participants are required to offer Resource capacity to the RTBM as described below. A Market Participant’s Resource capacity is the sum of Resources offered with a commitment status of Market, Self, or Reliability Must Run as </w:t>
      </w:r>
      <w:proofErr w:type="gramStart"/>
      <w:r w:rsidRPr="008024F3">
        <w:rPr>
          <w:szCs w:val="24"/>
        </w:rPr>
        <w:t>described</w:t>
      </w:r>
      <w:proofErr w:type="gramEnd"/>
      <w:r w:rsidRPr="008024F3">
        <w:rPr>
          <w:szCs w:val="24"/>
        </w:rPr>
        <w:t xml:space="preserve"> in Attachment A, Section 4.1. After satisfying the must offer obligation, a Market Participant may offer any remaining Energy or capacity to the market at its discretion. Market Participants satisfy this requirement by meeting the lesser of the criteria set forth in (A) or (B) below:</w:t>
      </w:r>
    </w:p>
    <w:p w14:paraId="7E06D5C7" w14:textId="77777777" w:rsidR="00BE542F" w:rsidRPr="008024F3" w:rsidRDefault="00BE542F" w:rsidP="00BE542F">
      <w:pPr>
        <w:pStyle w:val="ListParagraph"/>
        <w:spacing w:before="120"/>
        <w:rPr>
          <w:szCs w:val="24"/>
        </w:rPr>
      </w:pPr>
    </w:p>
    <w:p w14:paraId="674433A5" w14:textId="77777777" w:rsidR="00BE542F" w:rsidRPr="008024F3" w:rsidRDefault="00BE542F" w:rsidP="00BE542F">
      <w:pPr>
        <w:pStyle w:val="ListParagraph"/>
        <w:spacing w:before="120"/>
        <w:rPr>
          <w:szCs w:val="24"/>
        </w:rPr>
      </w:pPr>
      <w:r w:rsidRPr="008024F3">
        <w:rPr>
          <w:szCs w:val="24"/>
        </w:rPr>
        <w:t>(A)</w:t>
      </w:r>
      <w:r w:rsidRPr="008024F3">
        <w:rPr>
          <w:szCs w:val="24"/>
        </w:rPr>
        <w:tab/>
        <w:t>Each Market Participant will satisfy the must offer obligation in an Operating Hour by offering Resource capacity greater than or equal to the sum of (1) cleared Day-Ahead Market Energy, (2) cleared Flexibility Reserve Products, and (3) incremental Market Commitments from the RUC process, adjusted by (4) obligations to supply to or rights to receive from the Resource Adequacy Program and adjusted by (5) deviation in net position for each Operating Hour based on the following criteria:</w:t>
      </w:r>
    </w:p>
    <w:p w14:paraId="3E7E20A0" w14:textId="77777777" w:rsidR="00BE542F" w:rsidRPr="008024F3" w:rsidRDefault="00BE542F" w:rsidP="00BE542F">
      <w:pPr>
        <w:pStyle w:val="ListParagraph"/>
        <w:spacing w:before="120"/>
        <w:rPr>
          <w:szCs w:val="24"/>
        </w:rPr>
      </w:pPr>
    </w:p>
    <w:p w14:paraId="07B6723F" w14:textId="77777777" w:rsidR="00BE542F" w:rsidRPr="008024F3" w:rsidRDefault="00BE542F" w:rsidP="00BE542F">
      <w:pPr>
        <w:pStyle w:val="ListParagraph"/>
        <w:spacing w:before="120"/>
        <w:ind w:left="1440"/>
        <w:rPr>
          <w:szCs w:val="24"/>
        </w:rPr>
      </w:pPr>
      <w:r w:rsidRPr="008024F3">
        <w:rPr>
          <w:szCs w:val="24"/>
        </w:rPr>
        <w:t>(1)</w:t>
      </w:r>
      <w:r w:rsidRPr="008024F3">
        <w:rPr>
          <w:szCs w:val="24"/>
        </w:rPr>
        <w:tab/>
        <w:t>A Market Participant’s cleared Day-Ahead Market Energy is the sum of Energy cleared in the Day-Ahead Market for all Resources registered to the Market Participant for the Operating Hour.</w:t>
      </w:r>
    </w:p>
    <w:p w14:paraId="7D497F60" w14:textId="77777777" w:rsidR="00BE542F" w:rsidRPr="008024F3" w:rsidRDefault="00BE542F" w:rsidP="00BE542F">
      <w:pPr>
        <w:pStyle w:val="ListParagraph"/>
        <w:spacing w:before="120"/>
        <w:ind w:left="1440"/>
        <w:rPr>
          <w:szCs w:val="24"/>
        </w:rPr>
      </w:pPr>
    </w:p>
    <w:p w14:paraId="07A87153" w14:textId="77777777" w:rsidR="00BE542F" w:rsidRPr="008024F3" w:rsidRDefault="00BE542F" w:rsidP="00BE542F">
      <w:pPr>
        <w:pStyle w:val="ListParagraph"/>
        <w:spacing w:before="120"/>
        <w:ind w:left="1440"/>
        <w:rPr>
          <w:szCs w:val="24"/>
        </w:rPr>
      </w:pPr>
      <w:r w:rsidRPr="008024F3">
        <w:rPr>
          <w:szCs w:val="24"/>
        </w:rPr>
        <w:t>(2)</w:t>
      </w:r>
      <w:r w:rsidRPr="008024F3">
        <w:rPr>
          <w:szCs w:val="24"/>
        </w:rPr>
        <w:tab/>
        <w:t>A Market Participant’s cleared Day-Ahead Market Flexibility Reserve Products is the sum of Short-Term Flex Up and Mid-Term Flex Up cleared in the Day-Ahead Market for all Resources registered to the Market Participant for the Operating Hour.</w:t>
      </w:r>
    </w:p>
    <w:p w14:paraId="641042E9" w14:textId="77777777" w:rsidR="00BE542F" w:rsidRPr="008024F3" w:rsidRDefault="00BE542F" w:rsidP="00BE542F">
      <w:pPr>
        <w:pStyle w:val="ListParagraph"/>
        <w:spacing w:before="120"/>
        <w:ind w:left="1440"/>
        <w:rPr>
          <w:szCs w:val="24"/>
        </w:rPr>
      </w:pPr>
    </w:p>
    <w:p w14:paraId="5EE3C29A" w14:textId="77777777" w:rsidR="00BE542F" w:rsidRPr="008024F3" w:rsidRDefault="00BE542F" w:rsidP="00BE542F">
      <w:pPr>
        <w:pStyle w:val="ListParagraph"/>
        <w:spacing w:before="120"/>
        <w:ind w:left="1440"/>
        <w:rPr>
          <w:szCs w:val="24"/>
        </w:rPr>
      </w:pPr>
      <w:r w:rsidRPr="008024F3">
        <w:rPr>
          <w:szCs w:val="24"/>
        </w:rPr>
        <w:t>(3)</w:t>
      </w:r>
      <w:r w:rsidRPr="008024F3">
        <w:rPr>
          <w:szCs w:val="24"/>
        </w:rPr>
        <w:tab/>
        <w:t xml:space="preserve">A Market Participant’s incremental commitments from the RUC process </w:t>
      </w:r>
      <w:proofErr w:type="gramStart"/>
      <w:r w:rsidRPr="008024F3">
        <w:rPr>
          <w:szCs w:val="24"/>
        </w:rPr>
        <w:t>is</w:t>
      </w:r>
      <w:proofErr w:type="gramEnd"/>
      <w:r w:rsidRPr="008024F3">
        <w:rPr>
          <w:szCs w:val="24"/>
        </w:rPr>
        <w:t xml:space="preserve"> the sum of energy dispatch associated with incremental commitments from the initial RUC process for all Resources registered to the Market Participant for the Operating Hour, further described in the Markets+ Protocols.</w:t>
      </w:r>
    </w:p>
    <w:p w14:paraId="62AD859B" w14:textId="77777777" w:rsidR="00BE542F" w:rsidRPr="008024F3" w:rsidRDefault="00BE542F" w:rsidP="00BE542F">
      <w:pPr>
        <w:pStyle w:val="ListParagraph"/>
        <w:spacing w:before="120"/>
        <w:ind w:left="1440"/>
        <w:rPr>
          <w:szCs w:val="24"/>
        </w:rPr>
      </w:pPr>
    </w:p>
    <w:p w14:paraId="35EB6838" w14:textId="77777777" w:rsidR="00BE542F" w:rsidRPr="008024F3" w:rsidRDefault="00BE542F" w:rsidP="00BE542F">
      <w:pPr>
        <w:pStyle w:val="ListParagraph"/>
        <w:spacing w:before="120"/>
        <w:ind w:left="1440"/>
        <w:rPr>
          <w:szCs w:val="24"/>
        </w:rPr>
      </w:pPr>
      <w:r w:rsidRPr="008024F3">
        <w:rPr>
          <w:szCs w:val="24"/>
        </w:rPr>
        <w:t>(4)</w:t>
      </w:r>
      <w:r w:rsidRPr="008024F3">
        <w:rPr>
          <w:szCs w:val="24"/>
        </w:rPr>
        <w:tab/>
        <w:t>A Market Participant’s obligation to supply energy to or right to receive energy from the Resource Adequacy Program is described in the Markets+ Protocols.</w:t>
      </w:r>
    </w:p>
    <w:p w14:paraId="230A0F2D" w14:textId="77777777" w:rsidR="00BE542F" w:rsidRPr="008024F3" w:rsidRDefault="00BE542F" w:rsidP="00BE542F">
      <w:pPr>
        <w:pStyle w:val="ListParagraph"/>
        <w:spacing w:before="120"/>
        <w:ind w:left="1440"/>
        <w:rPr>
          <w:szCs w:val="24"/>
        </w:rPr>
      </w:pPr>
      <w:r w:rsidRPr="008024F3">
        <w:rPr>
          <w:szCs w:val="24"/>
        </w:rPr>
        <w:t xml:space="preserve"> </w:t>
      </w:r>
    </w:p>
    <w:p w14:paraId="53F4FB3A" w14:textId="77777777" w:rsidR="00BE542F" w:rsidRPr="008024F3" w:rsidRDefault="00BE542F" w:rsidP="00BE542F">
      <w:pPr>
        <w:pStyle w:val="ListParagraph"/>
        <w:spacing w:before="120"/>
        <w:ind w:left="1440"/>
        <w:rPr>
          <w:szCs w:val="24"/>
        </w:rPr>
      </w:pPr>
      <w:r w:rsidRPr="008024F3">
        <w:rPr>
          <w:szCs w:val="24"/>
        </w:rPr>
        <w:t>(5)</w:t>
      </w:r>
      <w:r w:rsidRPr="008024F3">
        <w:rPr>
          <w:szCs w:val="24"/>
        </w:rPr>
        <w:tab/>
        <w:t>A Market Participant’s deviation in net position is determined by comparing the final net position to the net position that cleared in the Day-Ahead Market for the Operating Hour and further described in the Markets+ Protocols.</w:t>
      </w:r>
    </w:p>
    <w:p w14:paraId="7856BDA7" w14:textId="77777777" w:rsidR="00BE542F" w:rsidRPr="008024F3" w:rsidRDefault="00BE542F" w:rsidP="00BE542F">
      <w:pPr>
        <w:pStyle w:val="ListParagraph"/>
        <w:spacing w:before="120"/>
        <w:ind w:left="1440"/>
        <w:rPr>
          <w:szCs w:val="24"/>
        </w:rPr>
      </w:pPr>
    </w:p>
    <w:p w14:paraId="32B6AADA" w14:textId="77777777" w:rsidR="00BE542F" w:rsidRPr="008024F3" w:rsidRDefault="00BE542F" w:rsidP="00BE542F">
      <w:pPr>
        <w:pStyle w:val="ListParagraph"/>
        <w:spacing w:before="120"/>
        <w:ind w:left="1440"/>
        <w:rPr>
          <w:szCs w:val="24"/>
        </w:rPr>
      </w:pPr>
      <w:r w:rsidRPr="008024F3">
        <w:rPr>
          <w:szCs w:val="24"/>
        </w:rPr>
        <w:t>(6)</w:t>
      </w:r>
      <w:r w:rsidRPr="008024F3">
        <w:rPr>
          <w:szCs w:val="24"/>
        </w:rPr>
        <w:tab/>
        <w:t>The resource capacity of a Market Participant is reduced by the total Self- Charging MWs of all MSRs registered to that Market Participant for the Operating Hour.</w:t>
      </w:r>
    </w:p>
    <w:p w14:paraId="24C5385A" w14:textId="77777777" w:rsidR="00BE542F" w:rsidRPr="008024F3" w:rsidRDefault="00BE542F" w:rsidP="00BE542F">
      <w:pPr>
        <w:pStyle w:val="ListParagraph"/>
        <w:spacing w:before="120"/>
        <w:rPr>
          <w:szCs w:val="24"/>
        </w:rPr>
      </w:pPr>
    </w:p>
    <w:p w14:paraId="3D0F8F4A" w14:textId="77777777" w:rsidR="00BE542F" w:rsidRPr="008024F3" w:rsidRDefault="00BE542F" w:rsidP="00BE542F">
      <w:pPr>
        <w:pStyle w:val="ListParagraph"/>
        <w:spacing w:before="120"/>
        <w:rPr>
          <w:szCs w:val="24"/>
        </w:rPr>
      </w:pPr>
      <w:r w:rsidRPr="008024F3">
        <w:rPr>
          <w:szCs w:val="24"/>
        </w:rPr>
        <w:t>(B)</w:t>
      </w:r>
      <w:r w:rsidRPr="008024F3">
        <w:rPr>
          <w:szCs w:val="24"/>
        </w:rPr>
        <w:tab/>
        <w:t>During the binding season each Market Participant will satisfy the must offer obligation by offering Resources greater than or equal to the higher of the Day-Ahead compliance amount described in Section 5.1.1(B) and the Real-Time must offer amount described in Section 5.1.2(A) (1, 2 &amp; 3), adjusted by (1) further obligation to supply energy to or receive energy from the Resource Adequacy Program not accounted for in the Day- Ahead Market, adjusted by (2) net position not accounted for in the Day-Ahead Market and adjusted by (3) fleet performance changes not accounted for in the Day-Ahead Market.</w:t>
      </w:r>
    </w:p>
    <w:p w14:paraId="18F8E55F" w14:textId="77777777" w:rsidR="00BE542F" w:rsidRPr="008024F3" w:rsidRDefault="00BE542F" w:rsidP="00BE542F">
      <w:pPr>
        <w:pStyle w:val="ListParagraph"/>
        <w:spacing w:before="120"/>
        <w:rPr>
          <w:szCs w:val="24"/>
        </w:rPr>
      </w:pPr>
    </w:p>
    <w:p w14:paraId="1F843F09" w14:textId="77777777" w:rsidR="00BE542F" w:rsidRPr="008024F3" w:rsidRDefault="00BE542F" w:rsidP="00BE542F">
      <w:pPr>
        <w:pStyle w:val="ListParagraph"/>
        <w:spacing w:before="120"/>
        <w:rPr>
          <w:szCs w:val="24"/>
        </w:rPr>
      </w:pPr>
      <w:r w:rsidRPr="008024F3">
        <w:rPr>
          <w:szCs w:val="24"/>
        </w:rPr>
        <w:t>During a non-binding season each Market Participant will satisfy the must offer obligation by offering Resources during the non-binding season greater than or equal to the Real-Time must offer amount described in Section 5.1.2(A) (1, 2 &amp; 3), adjusted by</w:t>
      </w:r>
    </w:p>
    <w:p w14:paraId="2F7307B9" w14:textId="77777777" w:rsidR="00BE542F" w:rsidRPr="008024F3" w:rsidRDefault="00BE542F" w:rsidP="00BE542F">
      <w:pPr>
        <w:pStyle w:val="ListParagraph"/>
        <w:spacing w:before="120"/>
        <w:rPr>
          <w:szCs w:val="24"/>
        </w:rPr>
      </w:pPr>
      <w:r w:rsidRPr="008024F3">
        <w:rPr>
          <w:szCs w:val="24"/>
        </w:rPr>
        <w:t>(2) net position not accounted for in the Day-Ahead Market and adjusted by three (3) fleet performance changes not accounted for in the Day-Ahead Market.</w:t>
      </w:r>
    </w:p>
    <w:p w14:paraId="6AFC1AAC" w14:textId="77777777" w:rsidR="00BE542F" w:rsidRPr="008024F3" w:rsidRDefault="00BE542F" w:rsidP="00BE542F">
      <w:pPr>
        <w:pStyle w:val="ListParagraph"/>
        <w:spacing w:before="120"/>
        <w:rPr>
          <w:szCs w:val="24"/>
        </w:rPr>
      </w:pPr>
    </w:p>
    <w:p w14:paraId="649829D9" w14:textId="77777777" w:rsidR="00BE542F" w:rsidRPr="008024F3" w:rsidRDefault="00BE542F" w:rsidP="00BE542F">
      <w:pPr>
        <w:pStyle w:val="ListParagraph"/>
        <w:spacing w:before="120"/>
        <w:ind w:left="1440"/>
        <w:rPr>
          <w:szCs w:val="24"/>
        </w:rPr>
      </w:pPr>
      <w:r w:rsidRPr="008024F3">
        <w:rPr>
          <w:szCs w:val="24"/>
        </w:rPr>
        <w:t>(1)</w:t>
      </w:r>
      <w:r w:rsidRPr="008024F3">
        <w:rPr>
          <w:szCs w:val="24"/>
        </w:rPr>
        <w:tab/>
        <w:t>A Market Participant’s obligation to supply or rights to receive energy from the Resource Adequacy Program, is described in the Markets+ Protocols.</w:t>
      </w:r>
    </w:p>
    <w:p w14:paraId="3C8A634B" w14:textId="77777777" w:rsidR="00BE542F" w:rsidRPr="008024F3" w:rsidRDefault="00BE542F" w:rsidP="00BE542F">
      <w:pPr>
        <w:pStyle w:val="ListParagraph"/>
        <w:spacing w:before="120"/>
        <w:ind w:left="1440"/>
        <w:rPr>
          <w:szCs w:val="24"/>
        </w:rPr>
      </w:pPr>
    </w:p>
    <w:p w14:paraId="240FF895" w14:textId="77777777" w:rsidR="00BE542F" w:rsidRPr="008024F3" w:rsidRDefault="00BE542F" w:rsidP="00BE542F">
      <w:pPr>
        <w:pStyle w:val="ListParagraph"/>
        <w:spacing w:before="120"/>
        <w:ind w:left="1440"/>
        <w:rPr>
          <w:szCs w:val="24"/>
        </w:rPr>
      </w:pPr>
      <w:r w:rsidRPr="008024F3">
        <w:rPr>
          <w:szCs w:val="24"/>
        </w:rPr>
        <w:t>(2)</w:t>
      </w:r>
      <w:r w:rsidRPr="008024F3">
        <w:rPr>
          <w:szCs w:val="24"/>
        </w:rPr>
        <w:tab/>
        <w:t>A Market Participant’s net position not accounted for in the Day-Ahead Market are further described in the Markets+ Protocols.</w:t>
      </w:r>
    </w:p>
    <w:p w14:paraId="13C038C9" w14:textId="77777777" w:rsidR="00BE542F" w:rsidRPr="008024F3" w:rsidRDefault="00BE542F" w:rsidP="00BE542F">
      <w:pPr>
        <w:pStyle w:val="ListParagraph"/>
        <w:spacing w:before="120"/>
        <w:ind w:left="1440"/>
        <w:rPr>
          <w:szCs w:val="24"/>
        </w:rPr>
      </w:pPr>
    </w:p>
    <w:p w14:paraId="504F2387" w14:textId="77777777" w:rsidR="00BE542F" w:rsidRPr="008024F3" w:rsidRDefault="00BE542F" w:rsidP="00BE542F">
      <w:pPr>
        <w:pStyle w:val="ListParagraph"/>
        <w:spacing w:before="120"/>
        <w:ind w:left="1440"/>
        <w:rPr>
          <w:szCs w:val="24"/>
        </w:rPr>
      </w:pPr>
      <w:r w:rsidRPr="008024F3">
        <w:rPr>
          <w:szCs w:val="24"/>
        </w:rPr>
        <w:t>(3)</w:t>
      </w:r>
      <w:r w:rsidRPr="008024F3">
        <w:rPr>
          <w:szCs w:val="24"/>
        </w:rPr>
        <w:tab/>
        <w:t>A Market Participant’s adjustment for fleet performance changes not accounted for in the Day-Ahead Market is the sum of unplanned unavailability or reduction of capacity of Resources registered to the Market Participant for the Operating Hour compared to the unplanned unavailability or reduction of capacity of the</w:t>
      </w:r>
      <w:r>
        <w:rPr>
          <w:szCs w:val="24"/>
        </w:rPr>
        <w:t xml:space="preserve"> </w:t>
      </w:r>
      <w:r w:rsidRPr="008024F3">
        <w:rPr>
          <w:szCs w:val="24"/>
        </w:rPr>
        <w:t>Market Participant for the Operating Hour offered into the Day-Ahead Market and further described in the Markets+ Protocols.</w:t>
      </w:r>
    </w:p>
    <w:p w14:paraId="0712C7D7" w14:textId="77777777" w:rsidR="00BE542F" w:rsidRPr="008024F3" w:rsidRDefault="00BE542F" w:rsidP="00BE542F">
      <w:pPr>
        <w:pStyle w:val="ListParagraph"/>
        <w:spacing w:before="120"/>
        <w:rPr>
          <w:szCs w:val="24"/>
        </w:rPr>
      </w:pPr>
    </w:p>
    <w:p w14:paraId="768935C1" w14:textId="77777777" w:rsidR="00BE542F" w:rsidRPr="008024F3" w:rsidRDefault="00BE542F" w:rsidP="00BE542F">
      <w:pPr>
        <w:pStyle w:val="ListParagraph"/>
        <w:spacing w:before="120"/>
        <w:rPr>
          <w:szCs w:val="24"/>
        </w:rPr>
      </w:pPr>
      <w:r w:rsidRPr="008024F3">
        <w:rPr>
          <w:szCs w:val="24"/>
        </w:rPr>
        <w:lastRenderedPageBreak/>
        <w:t>(C)</w:t>
      </w:r>
      <w:r w:rsidRPr="008024F3">
        <w:rPr>
          <w:szCs w:val="24"/>
        </w:rPr>
        <w:tab/>
        <w:t xml:space="preserve">A Market Participant </w:t>
      </w:r>
      <w:proofErr w:type="gramStart"/>
      <w:r w:rsidRPr="008024F3">
        <w:rPr>
          <w:szCs w:val="24"/>
        </w:rPr>
        <w:t>not meeting</w:t>
      </w:r>
      <w:proofErr w:type="gramEnd"/>
      <w:r w:rsidRPr="008024F3">
        <w:rPr>
          <w:szCs w:val="24"/>
        </w:rPr>
        <w:t xml:space="preserve"> the conditions described in Sections 5.1.2(A) or (B), the Market Participant will be deemed noncompliant with the must offer obligation for that Operating Hour. The Market Operator will assess a penalty amount equal to the </w:t>
      </w:r>
      <w:proofErr w:type="gramStart"/>
      <w:r w:rsidRPr="008024F3">
        <w:rPr>
          <w:szCs w:val="24"/>
        </w:rPr>
        <w:t>product of the</w:t>
      </w:r>
      <w:proofErr w:type="gramEnd"/>
      <w:r w:rsidRPr="008024F3">
        <w:rPr>
          <w:szCs w:val="24"/>
        </w:rPr>
        <w:t xml:space="preserve"> shortfall capacity and the associated RTBM LMP as described below.</w:t>
      </w:r>
    </w:p>
    <w:p w14:paraId="08E0253A" w14:textId="77777777" w:rsidR="00BE542F" w:rsidRPr="008024F3" w:rsidRDefault="00BE542F" w:rsidP="00BE542F">
      <w:pPr>
        <w:pStyle w:val="ListParagraph"/>
        <w:spacing w:before="120"/>
        <w:rPr>
          <w:szCs w:val="24"/>
        </w:rPr>
      </w:pPr>
    </w:p>
    <w:p w14:paraId="1A00DC24" w14:textId="77777777" w:rsidR="00BE542F" w:rsidRPr="008024F3" w:rsidRDefault="00BE542F" w:rsidP="00BE542F">
      <w:pPr>
        <w:pStyle w:val="ListParagraph"/>
        <w:spacing w:before="120"/>
        <w:ind w:left="1440"/>
        <w:rPr>
          <w:szCs w:val="24"/>
        </w:rPr>
      </w:pPr>
      <w:r w:rsidRPr="008024F3">
        <w:rPr>
          <w:szCs w:val="24"/>
        </w:rPr>
        <w:t>(1)</w:t>
      </w:r>
      <w:r w:rsidRPr="008024F3">
        <w:rPr>
          <w:szCs w:val="24"/>
        </w:rPr>
        <w:tab/>
        <w:t>A Market Participant’s shortfall capacity for the Operating Hour is equal to the lesser of the difference between the resource capacity and Real Time Balancing Market must offer obligation, as described above in Section 5.1.2 (A) and (B).</w:t>
      </w:r>
    </w:p>
    <w:p w14:paraId="2E0A2227" w14:textId="77777777" w:rsidR="00BE542F" w:rsidRPr="008024F3" w:rsidRDefault="00BE542F" w:rsidP="00BE542F">
      <w:pPr>
        <w:pStyle w:val="ListParagraph"/>
        <w:spacing w:before="120"/>
        <w:ind w:left="1440"/>
        <w:rPr>
          <w:szCs w:val="24"/>
        </w:rPr>
      </w:pPr>
    </w:p>
    <w:p w14:paraId="55CCFA2C" w14:textId="77777777" w:rsidR="00BE542F" w:rsidRPr="008024F3" w:rsidRDefault="00BE542F" w:rsidP="00BE542F">
      <w:pPr>
        <w:pStyle w:val="ListParagraph"/>
        <w:spacing w:before="120"/>
        <w:ind w:left="1440"/>
        <w:rPr>
          <w:szCs w:val="24"/>
        </w:rPr>
      </w:pPr>
      <w:r w:rsidRPr="008024F3">
        <w:rPr>
          <w:szCs w:val="24"/>
        </w:rPr>
        <w:t>(2)</w:t>
      </w:r>
      <w:r w:rsidRPr="008024F3">
        <w:rPr>
          <w:szCs w:val="24"/>
        </w:rPr>
        <w:tab/>
        <w:t>The Must Offer Penalty LMP is calculated as the average of the RTBM LMP for the Market Participant’s Resources in the Operating Hour with the shortfall. If a Market Participant has no registered Resources, then the Markets+ Marginal Energy Component will be used. In no case will the penalty be less than $0.00.</w:t>
      </w:r>
    </w:p>
    <w:p w14:paraId="33A6592E" w14:textId="77777777" w:rsidR="00BE542F" w:rsidRPr="008024F3" w:rsidRDefault="00BE542F" w:rsidP="00BE542F">
      <w:pPr>
        <w:pStyle w:val="ListParagraph"/>
        <w:spacing w:before="120"/>
        <w:ind w:left="1440"/>
        <w:rPr>
          <w:szCs w:val="24"/>
        </w:rPr>
      </w:pPr>
    </w:p>
    <w:p w14:paraId="0FB80278" w14:textId="77777777" w:rsidR="00BE542F" w:rsidRPr="001F4888" w:rsidRDefault="00BE542F" w:rsidP="00BE542F">
      <w:pPr>
        <w:pStyle w:val="ListParagraph"/>
        <w:spacing w:before="120"/>
        <w:ind w:left="1440"/>
        <w:rPr>
          <w:szCs w:val="24"/>
        </w:rPr>
      </w:pPr>
      <w:r w:rsidRPr="008024F3">
        <w:rPr>
          <w:szCs w:val="24"/>
        </w:rPr>
        <w:t>(3)</w:t>
      </w:r>
      <w:r w:rsidRPr="008024F3">
        <w:rPr>
          <w:szCs w:val="24"/>
        </w:rPr>
        <w:tab/>
        <w:t>The Market Operator will distribute any collected Real-Time must offer penalties for an Operating Hour as detailed in Attachment A, Section 9.3.26.</w:t>
      </w:r>
    </w:p>
    <w:p w14:paraId="21437762" w14:textId="77777777" w:rsidR="00BE542F" w:rsidRDefault="00BE542F" w:rsidP="00BE542F">
      <w:pPr>
        <w:pStyle w:val="paragraph"/>
        <w:spacing w:before="0" w:beforeAutospacing="0" w:after="0" w:afterAutospacing="0"/>
        <w:textAlignment w:val="baseline"/>
        <w:rPr>
          <w:rStyle w:val="normaltextrun"/>
          <w:rFonts w:ascii="Segoe UI Semibold" w:eastAsiaTheme="majorEastAsia" w:hAnsi="Segoe UI Semibold" w:cs="Segoe UI Semibold"/>
          <w:caps/>
          <w:color w:val="2399BB"/>
          <w:sz w:val="28"/>
          <w:szCs w:val="28"/>
        </w:rPr>
      </w:pPr>
    </w:p>
    <w:p w14:paraId="3447B083" w14:textId="77777777" w:rsidR="00BE542F" w:rsidRDefault="00BE542F" w:rsidP="00BE542F">
      <w:pPr>
        <w:pStyle w:val="paragraph"/>
        <w:spacing w:before="0" w:beforeAutospacing="0" w:after="0" w:afterAutospacing="0"/>
        <w:textAlignment w:val="baseline"/>
        <w:rPr>
          <w:rFonts w:ascii="Segoe UI" w:hAnsi="Segoe UI" w:cs="Segoe UI"/>
          <w:caps/>
          <w:color w:val="2399BB"/>
          <w:sz w:val="18"/>
          <w:szCs w:val="18"/>
        </w:rPr>
      </w:pPr>
      <w:r>
        <w:rPr>
          <w:rStyle w:val="normaltextrun"/>
          <w:rFonts w:ascii="Segoe UI Semibold" w:eastAsiaTheme="majorEastAsia" w:hAnsi="Segoe UI Semibold" w:cs="Segoe UI Semibold"/>
          <w:caps/>
          <w:color w:val="2399BB"/>
          <w:sz w:val="28"/>
          <w:szCs w:val="28"/>
        </w:rPr>
        <w:t>MARKETS+ PROTOCOLS</w:t>
      </w:r>
      <w:r>
        <w:rPr>
          <w:rStyle w:val="eop"/>
          <w:rFonts w:ascii="Segoe UI Semibold" w:eastAsiaTheme="majorEastAsia" w:hAnsi="Segoe UI Semibold" w:cs="Segoe UI Semibold"/>
          <w:caps/>
          <w:color w:val="2399BB"/>
          <w:sz w:val="28"/>
          <w:szCs w:val="28"/>
        </w:rPr>
        <w:t> </w:t>
      </w:r>
    </w:p>
    <w:p w14:paraId="3D4B5720" w14:textId="55427F18" w:rsidR="00BE542F" w:rsidRPr="00264814" w:rsidRDefault="00264814" w:rsidP="00264814">
      <w:pPr>
        <w:rPr>
          <w:rFonts w:asciiTheme="majorHAnsi" w:hAnsiTheme="majorHAnsi"/>
          <w:color w:val="153D63" w:themeColor="text2" w:themeTint="E6"/>
          <w:sz w:val="40"/>
          <w:szCs w:val="40"/>
        </w:rPr>
      </w:pPr>
      <w:r>
        <w:rPr>
          <w:rFonts w:asciiTheme="majorHAnsi" w:hAnsiTheme="majorHAnsi"/>
          <w:color w:val="153D63" w:themeColor="text2" w:themeTint="E6"/>
          <w:sz w:val="40"/>
          <w:szCs w:val="40"/>
        </w:rPr>
        <w:t xml:space="preserve">1. </w:t>
      </w:r>
      <w:r w:rsidR="00BE542F" w:rsidRPr="00264814">
        <w:rPr>
          <w:rFonts w:asciiTheme="majorHAnsi" w:hAnsiTheme="majorHAnsi"/>
          <w:color w:val="153D63" w:themeColor="text2" w:themeTint="E6"/>
          <w:sz w:val="40"/>
          <w:szCs w:val="40"/>
        </w:rPr>
        <w:t>Must Offer Obligation</w:t>
      </w:r>
    </w:p>
    <w:p w14:paraId="0E5A2FAF" w14:textId="77777777" w:rsidR="00BE542F" w:rsidRPr="00264814" w:rsidRDefault="00BE542F" w:rsidP="00264814">
      <w:pPr>
        <w:rPr>
          <w:color w:val="153D63" w:themeColor="text2" w:themeTint="E6"/>
          <w:sz w:val="28"/>
          <w:szCs w:val="28"/>
        </w:rPr>
      </w:pPr>
      <w:r w:rsidRPr="00264814">
        <w:rPr>
          <w:color w:val="153D63" w:themeColor="text2" w:themeTint="E6"/>
          <w:sz w:val="28"/>
          <w:szCs w:val="28"/>
        </w:rPr>
        <w:t>1.1 Definitions to be included in the Protocols Glossary</w:t>
      </w:r>
    </w:p>
    <w:p w14:paraId="34E403DF" w14:textId="77777777" w:rsidR="00BE542F" w:rsidRDefault="00BE542F" w:rsidP="00BE542F">
      <w:pPr>
        <w:spacing w:before="120"/>
      </w:pPr>
      <w:r w:rsidRPr="00C03789">
        <w:t xml:space="preserve">(NOTE: Certain defined terms below come from the M+ tariff and will NOT be reproduced within the Protocols so inconsistency can be best avoided). </w:t>
      </w:r>
    </w:p>
    <w:p w14:paraId="2A755DCD" w14:textId="77777777" w:rsidR="00BE542F" w:rsidRPr="001F4888" w:rsidRDefault="00BE542F" w:rsidP="00BE542F">
      <w:pPr>
        <w:pStyle w:val="ParaText"/>
        <w:spacing w:before="120"/>
        <w:rPr>
          <w:szCs w:val="24"/>
        </w:rPr>
      </w:pPr>
      <w:r w:rsidRPr="001F4888">
        <w:rPr>
          <w:b/>
          <w:bCs/>
          <w:szCs w:val="24"/>
        </w:rPr>
        <w:t>Binding Season</w:t>
      </w:r>
      <w:r>
        <w:rPr>
          <w:b/>
          <w:bCs/>
          <w:szCs w:val="24"/>
        </w:rPr>
        <w:t>s</w:t>
      </w:r>
      <w:r w:rsidRPr="001F4888">
        <w:rPr>
          <w:szCs w:val="24"/>
        </w:rPr>
        <w:t>: Summer (June 1</w:t>
      </w:r>
      <w:r w:rsidRPr="001F4888">
        <w:rPr>
          <w:szCs w:val="24"/>
          <w:vertAlign w:val="superscript"/>
        </w:rPr>
        <w:t>st</w:t>
      </w:r>
      <w:r w:rsidRPr="001F4888">
        <w:rPr>
          <w:szCs w:val="24"/>
        </w:rPr>
        <w:t xml:space="preserve"> through September 15</w:t>
      </w:r>
      <w:r w:rsidRPr="001F4888">
        <w:rPr>
          <w:szCs w:val="24"/>
          <w:vertAlign w:val="superscript"/>
        </w:rPr>
        <w:t>th</w:t>
      </w:r>
      <w:r w:rsidRPr="001F4888">
        <w:rPr>
          <w:szCs w:val="24"/>
        </w:rPr>
        <w:t>) and Winter (November 1</w:t>
      </w:r>
      <w:r w:rsidRPr="001F4888">
        <w:rPr>
          <w:szCs w:val="24"/>
          <w:vertAlign w:val="superscript"/>
        </w:rPr>
        <w:t>st</w:t>
      </w:r>
      <w:r w:rsidRPr="001F4888">
        <w:rPr>
          <w:szCs w:val="24"/>
        </w:rPr>
        <w:t xml:space="preserve"> through March 15</w:t>
      </w:r>
      <w:r w:rsidRPr="001F4888">
        <w:rPr>
          <w:szCs w:val="24"/>
          <w:vertAlign w:val="superscript"/>
        </w:rPr>
        <w:t>th</w:t>
      </w:r>
      <w:r w:rsidRPr="001F4888">
        <w:rPr>
          <w:szCs w:val="24"/>
        </w:rPr>
        <w:t>).</w:t>
      </w:r>
      <w:r>
        <w:rPr>
          <w:szCs w:val="24"/>
        </w:rPr>
        <w:t xml:space="preserve">  Note that WRAP Holdback Requirement as defined below is applicable only during these Binding Seasons.  </w:t>
      </w:r>
    </w:p>
    <w:p w14:paraId="739C4880" w14:textId="77777777" w:rsidR="00BE542F" w:rsidRPr="001F4888" w:rsidRDefault="00BE542F" w:rsidP="00BE542F">
      <w:pPr>
        <w:pStyle w:val="ParaText"/>
        <w:spacing w:before="120"/>
        <w:rPr>
          <w:szCs w:val="24"/>
        </w:rPr>
      </w:pPr>
      <w:r w:rsidRPr="007673E4">
        <w:rPr>
          <w:b/>
          <w:szCs w:val="24"/>
        </w:rPr>
        <w:t>Ceiling</w:t>
      </w:r>
      <w:r w:rsidRPr="001F4888">
        <w:rPr>
          <w:szCs w:val="24"/>
        </w:rPr>
        <w:t>: The maximum quantity required for a Market Participant'</w:t>
      </w:r>
      <w:r>
        <w:rPr>
          <w:szCs w:val="24"/>
        </w:rPr>
        <w:t>s</w:t>
      </w:r>
      <w:r w:rsidRPr="001F4888">
        <w:rPr>
          <w:szCs w:val="24"/>
        </w:rPr>
        <w:t xml:space="preserve"> Must Offer Obligation.  The source of the Ceiling is </w:t>
      </w:r>
      <w:r>
        <w:rPr>
          <w:szCs w:val="24"/>
        </w:rPr>
        <w:t xml:space="preserve">the table in </w:t>
      </w:r>
      <w:r w:rsidRPr="00B26619">
        <w:rPr>
          <w:szCs w:val="24"/>
        </w:rPr>
        <w:t>section 1</w:t>
      </w:r>
      <w:r>
        <w:rPr>
          <w:szCs w:val="24"/>
        </w:rPr>
        <w:t>.3 below and provided by the Market Participant.</w:t>
      </w:r>
    </w:p>
    <w:p w14:paraId="4D965E32" w14:textId="77777777" w:rsidR="00BE542F" w:rsidRDefault="00BE542F" w:rsidP="00BE542F">
      <w:pPr>
        <w:spacing w:before="120"/>
      </w:pPr>
      <w:r w:rsidRPr="00C12E08">
        <w:rPr>
          <w:b/>
        </w:rPr>
        <w:t>CROW</w:t>
      </w:r>
      <w:r w:rsidRPr="00C03789">
        <w:t xml:space="preserve">: Control Room Outage Window, the reporting tool used for outage coordination; required for Resources that are contributed to the market.  See Section 4.1.6 </w:t>
      </w:r>
      <w:r w:rsidRPr="007673E4">
        <w:t>Outage Scheduling and Reporting</w:t>
      </w:r>
      <w:r>
        <w:t>.</w:t>
      </w:r>
    </w:p>
    <w:p w14:paraId="1CA87C35" w14:textId="77777777" w:rsidR="00BE542F" w:rsidRDefault="00BE542F" w:rsidP="00BE542F">
      <w:pPr>
        <w:spacing w:before="120"/>
      </w:pPr>
      <w:r w:rsidRPr="00C12E08">
        <w:rPr>
          <w:b/>
        </w:rPr>
        <w:t xml:space="preserve">Forward Showing </w:t>
      </w:r>
      <w:r>
        <w:rPr>
          <w:b/>
        </w:rPr>
        <w:t>Submission:</w:t>
      </w:r>
      <w:r w:rsidRPr="00C03789">
        <w:t xml:space="preserve"> </w:t>
      </w:r>
      <w:r w:rsidRPr="345E6B3D">
        <w:rPr>
          <w:color w:val="000000" w:themeColor="text1"/>
        </w:rPr>
        <w:t xml:space="preserve">The </w:t>
      </w:r>
      <w:r>
        <w:rPr>
          <w:color w:val="000000" w:themeColor="text1"/>
        </w:rPr>
        <w:t>S</w:t>
      </w:r>
      <w:r w:rsidRPr="345E6B3D">
        <w:rPr>
          <w:color w:val="000000" w:themeColor="text1"/>
        </w:rPr>
        <w:t>ubmission</w:t>
      </w:r>
      <w:r>
        <w:rPr>
          <w:color w:val="000000" w:themeColor="text1"/>
        </w:rPr>
        <w:t>, in the form of a</w:t>
      </w:r>
      <w:r w:rsidRPr="001B4D05">
        <w:t xml:space="preserve"> </w:t>
      </w:r>
      <w:r w:rsidRPr="00C03789">
        <w:t>workbook or other systematic or electronic means</w:t>
      </w:r>
      <w:r>
        <w:t>, used by a WRAP participant to</w:t>
      </w:r>
      <w:r w:rsidRPr="00C03789">
        <w:t xml:space="preserve"> convey sufficiency and </w:t>
      </w:r>
      <w:r w:rsidRPr="00C03789">
        <w:lastRenderedPageBreak/>
        <w:t>compliance with the</w:t>
      </w:r>
      <w:r>
        <w:t xml:space="preserve"> capacity and transmission requirements in the </w:t>
      </w:r>
      <w:r w:rsidRPr="00C03789">
        <w:t>Resource Adequacy Program Forward Showing Program</w:t>
      </w:r>
      <w:r>
        <w:rPr>
          <w:color w:val="000000" w:themeColor="text1"/>
        </w:rPr>
        <w:t xml:space="preserve">. </w:t>
      </w:r>
    </w:p>
    <w:p w14:paraId="06B1C125" w14:textId="77777777" w:rsidR="00BE542F" w:rsidRDefault="00BE542F" w:rsidP="00BE542F">
      <w:pPr>
        <w:spacing w:before="120"/>
      </w:pPr>
      <w:r>
        <w:rPr>
          <w:b/>
        </w:rPr>
        <w:t xml:space="preserve">WRAP Operations Program </w:t>
      </w:r>
      <w:r w:rsidRPr="007673E4">
        <w:rPr>
          <w:b/>
        </w:rPr>
        <w:t>Hourly Holdback</w:t>
      </w:r>
      <w:r w:rsidRPr="001F4888">
        <w:t xml:space="preserve">: A MW quantity, as determined on a Preschedule Day, that </w:t>
      </w:r>
      <w:r>
        <w:t xml:space="preserve">has been issued by the WRAP and </w:t>
      </w:r>
      <w:proofErr w:type="gramStart"/>
      <w:r w:rsidRPr="001F4888">
        <w:t>is capable of converting</w:t>
      </w:r>
      <w:proofErr w:type="gramEnd"/>
      <w:r w:rsidRPr="001F4888">
        <w:t xml:space="preserve"> into an Energy Deployment on a given hour of the succeeding Operating Day.  A Market Participant </w:t>
      </w:r>
      <w:r>
        <w:t>with an obligation to provide a</w:t>
      </w:r>
      <w:r w:rsidRPr="001F4888">
        <w:t xml:space="preserve"> WRAP holdback will include the MW value as a positive value to represent an increase to a Market Participant’s Must Offer </w:t>
      </w:r>
      <w:r>
        <w:t>Obligation</w:t>
      </w:r>
      <w:r w:rsidRPr="001F4888">
        <w:t xml:space="preserve">. </w:t>
      </w:r>
      <w:r>
        <w:t xml:space="preserve"> A</w:t>
      </w:r>
      <w:r w:rsidRPr="001F4888">
        <w:t xml:space="preserve"> Market Participant receiving </w:t>
      </w:r>
      <w:proofErr w:type="gramStart"/>
      <w:r w:rsidRPr="001F4888">
        <w:t>a WRAP</w:t>
      </w:r>
      <w:proofErr w:type="gramEnd"/>
      <w:r w:rsidRPr="001F4888">
        <w:t xml:space="preserve"> holdback will include the MW value as a negative value to represent a decrease to a Market Participant’s Must Offer </w:t>
      </w:r>
      <w:r>
        <w:t>Obligation</w:t>
      </w:r>
      <w:r w:rsidRPr="001F4888">
        <w:t xml:space="preserve">. </w:t>
      </w:r>
      <w:r>
        <w:t xml:space="preserve"> </w:t>
      </w:r>
    </w:p>
    <w:p w14:paraId="6C4B4B48" w14:textId="77777777" w:rsidR="00BE542F" w:rsidRDefault="00BE542F" w:rsidP="00BE542F">
      <w:pPr>
        <w:spacing w:before="120"/>
      </w:pPr>
      <w:r>
        <w:rPr>
          <w:b/>
        </w:rPr>
        <w:t xml:space="preserve">WRAP Operations Program </w:t>
      </w:r>
      <w:r w:rsidRPr="007673E4">
        <w:rPr>
          <w:b/>
        </w:rPr>
        <w:t xml:space="preserve">Hourly </w:t>
      </w:r>
      <w:r>
        <w:rPr>
          <w:b/>
        </w:rPr>
        <w:t>Sharing Result</w:t>
      </w:r>
      <w:r w:rsidRPr="001F4888">
        <w:t xml:space="preserve">: </w:t>
      </w:r>
      <w:r>
        <w:t xml:space="preserve">The result of WRAP sharing calculation in MW Qty, for an entity </w:t>
      </w:r>
      <w:proofErr w:type="gramStart"/>
      <w:r>
        <w:t>in a given</w:t>
      </w:r>
      <w:proofErr w:type="gramEnd"/>
      <w:r>
        <w:t xml:space="preserve"> hour of a succeeding Operating Day </w:t>
      </w:r>
      <w:r w:rsidRPr="001F4888">
        <w:t>as determined on a Preschedule Day</w:t>
      </w:r>
      <w:r>
        <w:t xml:space="preserve">.  </w:t>
      </w:r>
      <w:r w:rsidRPr="00AE0505">
        <w:t>If a</w:t>
      </w:r>
      <w:r>
        <w:t>n entity’s</w:t>
      </w:r>
      <w:r w:rsidRPr="00AE0505">
        <w:t xml:space="preserve"> </w:t>
      </w:r>
      <w:r>
        <w:t xml:space="preserve">WRAP Operations Program </w:t>
      </w:r>
      <w:r w:rsidRPr="00AE0505">
        <w:t xml:space="preserve">Sharing Result is </w:t>
      </w:r>
      <w:r>
        <w:t xml:space="preserve">a </w:t>
      </w:r>
      <w:r w:rsidRPr="00AE0505">
        <w:t>positiv</w:t>
      </w:r>
      <w:r>
        <w:t>e quantity</w:t>
      </w:r>
      <w:r w:rsidRPr="00AE0505">
        <w:t xml:space="preserve">, this indicates a surplus and if </w:t>
      </w:r>
      <w:r>
        <w:t xml:space="preserve">an entity’s WRAP Operations Program </w:t>
      </w:r>
      <w:r w:rsidRPr="00AE0505">
        <w:t>Sharing Result is negative, this indicates a deficit. If the Sharing Result is equal to zero</w:t>
      </w:r>
      <w:r>
        <w:t xml:space="preserve"> (0) MW</w:t>
      </w:r>
      <w:r w:rsidRPr="00AE0505">
        <w:t>, this indicates a neutral position that is neither a surplus nor a deficit.</w:t>
      </w:r>
      <w:r>
        <w:t xml:space="preserve"> </w:t>
      </w:r>
    </w:p>
    <w:p w14:paraId="3DF9122D" w14:textId="77777777" w:rsidR="00BE542F" w:rsidRPr="001F4888" w:rsidRDefault="00BE542F" w:rsidP="00BE542F">
      <w:pPr>
        <w:pStyle w:val="ParaText"/>
        <w:spacing w:before="120"/>
        <w:rPr>
          <w:szCs w:val="24"/>
        </w:rPr>
      </w:pPr>
    </w:p>
    <w:p w14:paraId="173B22A4" w14:textId="77777777" w:rsidR="00BE542F" w:rsidRPr="001F4888" w:rsidRDefault="00BE542F" w:rsidP="00BE542F">
      <w:pPr>
        <w:pStyle w:val="ParaText"/>
        <w:spacing w:before="120"/>
        <w:rPr>
          <w:b/>
          <w:bCs/>
        </w:rPr>
      </w:pPr>
      <w:r w:rsidRPr="5BA4BE04">
        <w:rPr>
          <w:b/>
          <w:bCs/>
        </w:rPr>
        <w:t xml:space="preserve">Net Position:  </w:t>
      </w:r>
      <w:r w:rsidRPr="0019142D">
        <w:t xml:space="preserve"> </w:t>
      </w:r>
      <w:r>
        <w:t>Net position includes contracts for the sale or purchase of Energy or capacity outside of the day-ahead and or real time markets;</w:t>
      </w:r>
      <w:r w:rsidRPr="00443647">
        <w:t xml:space="preserve"> </w:t>
      </w:r>
      <w:r>
        <w:t>on these transactions a</w:t>
      </w:r>
      <w:r>
        <w:rPr>
          <w:b/>
          <w:bCs/>
        </w:rPr>
        <w:t xml:space="preserve"> </w:t>
      </w:r>
      <w:r w:rsidRPr="003B790D">
        <w:t>sale is represented as a positive value and purchase as a negative</w:t>
      </w:r>
      <w:r>
        <w:t xml:space="preserve">. </w:t>
      </w:r>
      <w:r w:rsidDel="00F77FAB">
        <w:t xml:space="preserve"> </w:t>
      </w:r>
      <w:r w:rsidRPr="003B790D">
        <w:t xml:space="preserve">For transactions that </w:t>
      </w:r>
      <w:r>
        <w:t xml:space="preserve">import into or </w:t>
      </w:r>
      <w:r w:rsidRPr="003B790D">
        <w:t>export</w:t>
      </w:r>
      <w:r>
        <w:t xml:space="preserve"> from</w:t>
      </w:r>
      <w:r w:rsidRPr="003B790D">
        <w:t xml:space="preserve"> the </w:t>
      </w:r>
      <w:r>
        <w:t>M</w:t>
      </w:r>
      <w:r w:rsidRPr="003B790D">
        <w:t xml:space="preserve">arkets+ </w:t>
      </w:r>
      <w:r>
        <w:t>F</w:t>
      </w:r>
      <w:r w:rsidRPr="003B790D">
        <w:t>ootprint, net position only includes high priority imports and exports</w:t>
      </w:r>
      <w:r>
        <w:t xml:space="preserve">. </w:t>
      </w:r>
      <w:r>
        <w:rPr>
          <w:szCs w:val="24"/>
        </w:rPr>
        <w:t>If a Market Participant wishes to include a High Priority Transaction in its net position, that transaction must meet the requirements of a qualifying e-tag, as detailed in Section [High Priority Transactions] of the Protocols.</w:t>
      </w:r>
    </w:p>
    <w:p w14:paraId="52AC9C55" w14:textId="77777777" w:rsidR="00BE542F" w:rsidRDefault="00BE542F" w:rsidP="00BE542F">
      <w:pPr>
        <w:pStyle w:val="ParaText"/>
        <w:spacing w:before="120"/>
        <w:rPr>
          <w:szCs w:val="24"/>
        </w:rPr>
      </w:pPr>
      <w:r>
        <w:rPr>
          <w:b/>
          <w:bCs/>
          <w:szCs w:val="24"/>
        </w:rPr>
        <w:t>Non-</w:t>
      </w:r>
      <w:r w:rsidRPr="001F4888">
        <w:rPr>
          <w:b/>
          <w:bCs/>
          <w:szCs w:val="24"/>
        </w:rPr>
        <w:t>Binding Season</w:t>
      </w:r>
      <w:r w:rsidRPr="001F4888">
        <w:rPr>
          <w:szCs w:val="24"/>
        </w:rPr>
        <w:t xml:space="preserve">: </w:t>
      </w:r>
      <w:r>
        <w:rPr>
          <w:szCs w:val="24"/>
        </w:rPr>
        <w:t>Any calendar date that is outside of the dates in the Binding Seasons.</w:t>
      </w:r>
    </w:p>
    <w:p w14:paraId="42F64FE8" w14:textId="77777777" w:rsidR="00BE542F" w:rsidRDefault="00BE542F" w:rsidP="00BE542F">
      <w:pPr>
        <w:pStyle w:val="ParaText"/>
        <w:spacing w:before="120"/>
      </w:pPr>
      <w:r w:rsidRPr="5BA4BE04">
        <w:rPr>
          <w:b/>
          <w:bCs/>
        </w:rPr>
        <w:t xml:space="preserve">Must Offer Obligation: </w:t>
      </w:r>
      <w:r>
        <w:t xml:space="preserve">The minimum amount of Resource capacity which a Market Participant is required to offer into the Day-Ahead Market, RUC, or RTBM.  </w:t>
      </w:r>
    </w:p>
    <w:p w14:paraId="7E6447C0" w14:textId="77777777" w:rsidR="00BE542F" w:rsidRPr="00264814" w:rsidRDefault="00BE542F" w:rsidP="00264814">
      <w:pPr>
        <w:rPr>
          <w:color w:val="153D63" w:themeColor="text2" w:themeTint="E6"/>
          <w:sz w:val="28"/>
          <w:szCs w:val="28"/>
        </w:rPr>
      </w:pPr>
      <w:bookmarkStart w:id="78" w:name="_Toc131492897"/>
      <w:bookmarkStart w:id="79" w:name="OLE_LINK204"/>
      <w:r w:rsidRPr="00264814">
        <w:rPr>
          <w:color w:val="153D63" w:themeColor="text2" w:themeTint="E6"/>
          <w:sz w:val="28"/>
          <w:szCs w:val="28"/>
        </w:rPr>
        <w:t xml:space="preserve">1.2 Must-Offer </w:t>
      </w:r>
      <w:bookmarkEnd w:id="78"/>
      <w:r w:rsidRPr="00264814">
        <w:rPr>
          <w:color w:val="153D63" w:themeColor="text2" w:themeTint="E6"/>
          <w:sz w:val="28"/>
          <w:szCs w:val="28"/>
        </w:rPr>
        <w:t>Obligation</w:t>
      </w:r>
    </w:p>
    <w:p w14:paraId="68219419" w14:textId="77777777" w:rsidR="00BE542F" w:rsidRPr="001F4888" w:rsidRDefault="00BE542F" w:rsidP="00BE542F">
      <w:pPr>
        <w:pStyle w:val="ParaText"/>
        <w:spacing w:before="120"/>
        <w:rPr>
          <w:szCs w:val="24"/>
        </w:rPr>
      </w:pPr>
      <w:r w:rsidRPr="001F4888">
        <w:rPr>
          <w:szCs w:val="24"/>
        </w:rPr>
        <w:t xml:space="preserve">For each Operating Day, Market Participants are required to offer available Resources to the Day-Ahead Market, initial Reliability Unit Commitment process, and Real-Time Balancing Market as detailed in this section. </w:t>
      </w:r>
    </w:p>
    <w:p w14:paraId="6B3B6CF4" w14:textId="77777777" w:rsidR="00BE542F" w:rsidRDefault="00BE542F" w:rsidP="00BE542F">
      <w:pPr>
        <w:pStyle w:val="ParaText"/>
        <w:spacing w:before="120"/>
        <w:rPr>
          <w:szCs w:val="24"/>
        </w:rPr>
      </w:pPr>
      <w:r>
        <w:t xml:space="preserve">If a Market Participant is a Load Responsible Entity (LRE) or has a contractual obligation to supply a load that is within the Markets+ Footprint, that Market Participant will be subject to the Must Offer Obligation.  If a Resource within the Markets+ Footprint has a high priority export to serve </w:t>
      </w:r>
      <w:r>
        <w:lastRenderedPageBreak/>
        <w:t xml:space="preserve">load outside the footprint, the Market Participant to whom that Resource is registered will have the Must Offer Obligation.  </w:t>
      </w:r>
    </w:p>
    <w:p w14:paraId="61CFBFBB" w14:textId="77777777" w:rsidR="00BE542F" w:rsidRPr="00264814" w:rsidRDefault="00BE542F" w:rsidP="00264814">
      <w:pPr>
        <w:rPr>
          <w:color w:val="153D63" w:themeColor="text2" w:themeTint="E6"/>
          <w:sz w:val="28"/>
          <w:szCs w:val="28"/>
        </w:rPr>
      </w:pPr>
      <w:r w:rsidRPr="00264814">
        <w:rPr>
          <w:color w:val="153D63" w:themeColor="text2" w:themeTint="E6"/>
          <w:sz w:val="28"/>
          <w:szCs w:val="28"/>
        </w:rPr>
        <w:t>1.3 Data and Information</w:t>
      </w:r>
    </w:p>
    <w:p w14:paraId="79FB42C5" w14:textId="77777777" w:rsidR="00BE542F" w:rsidRDefault="00BE542F" w:rsidP="00BE542F">
      <w:pPr>
        <w:pStyle w:val="ParaText"/>
        <w:spacing w:before="120"/>
      </w:pPr>
      <w:r>
        <w:t>A Market Participant must provide to the Market Operator the relevant Resource and load data for loads in the Markets+ footprint for the next upcoming Binding Season that are summarized within its Forward Showing Submission, which is approved by the Program Operator of the Resource Adequacy Program.</w:t>
      </w:r>
    </w:p>
    <w:p w14:paraId="373D779A" w14:textId="77777777" w:rsidR="00BE542F" w:rsidRPr="001F4888" w:rsidRDefault="00BE542F" w:rsidP="00BE542F">
      <w:pPr>
        <w:pStyle w:val="ParaText"/>
        <w:spacing w:before="120"/>
      </w:pPr>
      <w:r>
        <w:t>Sample Format for Forward Showing Data that will be used for the Must Offer Ceiling</w:t>
      </w:r>
      <w:r>
        <w:rPr>
          <w:b/>
          <w:bCs/>
        </w:rPr>
        <w:t xml:space="preserve"> </w:t>
      </w:r>
      <w:r w:rsidRPr="00854586">
        <w:t xml:space="preserve">Submission </w:t>
      </w:r>
    </w:p>
    <w:tbl>
      <w:tblPr>
        <w:tblStyle w:val="TableGrid"/>
        <w:tblW w:w="0" w:type="auto"/>
        <w:tblLook w:val="04A0" w:firstRow="1" w:lastRow="0" w:firstColumn="1" w:lastColumn="0" w:noHBand="0" w:noVBand="1"/>
      </w:tblPr>
      <w:tblGrid>
        <w:gridCol w:w="2265"/>
        <w:gridCol w:w="1199"/>
        <w:gridCol w:w="1582"/>
        <w:gridCol w:w="1582"/>
        <w:gridCol w:w="1456"/>
        <w:gridCol w:w="1266"/>
      </w:tblGrid>
      <w:tr w:rsidR="00BE542F" w14:paraId="4C693320" w14:textId="77777777" w:rsidTr="003E4C24">
        <w:tc>
          <w:tcPr>
            <w:tcW w:w="2314" w:type="dxa"/>
            <w:vAlign w:val="bottom"/>
          </w:tcPr>
          <w:p w14:paraId="4C22287C" w14:textId="77777777" w:rsidR="00BE542F" w:rsidRPr="007673E4" w:rsidRDefault="00BE542F" w:rsidP="003E4C24">
            <w:pPr>
              <w:pStyle w:val="ParaText"/>
              <w:spacing w:before="120"/>
              <w:jc w:val="center"/>
              <w:rPr>
                <w:b/>
                <w:bCs/>
              </w:rPr>
            </w:pPr>
            <w:r w:rsidRPr="007673E4">
              <w:rPr>
                <w:b/>
                <w:bCs/>
              </w:rPr>
              <w:t>Forward Showing</w:t>
            </w:r>
            <w:r>
              <w:rPr>
                <w:b/>
                <w:bCs/>
              </w:rPr>
              <w:t xml:space="preserve"> (FS)</w:t>
            </w:r>
            <w:r w:rsidRPr="007673E4">
              <w:rPr>
                <w:b/>
                <w:bCs/>
              </w:rPr>
              <w:t xml:space="preserve"> </w:t>
            </w:r>
            <w:r>
              <w:rPr>
                <w:b/>
                <w:bCs/>
              </w:rPr>
              <w:t xml:space="preserve">Capacity Requirement </w:t>
            </w:r>
            <w:r w:rsidRPr="007673E4">
              <w:rPr>
                <w:b/>
                <w:bCs/>
              </w:rPr>
              <w:t xml:space="preserve">for All Loads Registered </w:t>
            </w:r>
            <w:r>
              <w:rPr>
                <w:b/>
                <w:bCs/>
              </w:rPr>
              <w:t>in</w:t>
            </w:r>
            <w:r w:rsidRPr="007673E4">
              <w:rPr>
                <w:b/>
                <w:bCs/>
              </w:rPr>
              <w:t xml:space="preserve"> </w:t>
            </w:r>
            <w:r>
              <w:rPr>
                <w:b/>
                <w:bCs/>
              </w:rPr>
              <w:t xml:space="preserve">    </w:t>
            </w:r>
            <w:r w:rsidRPr="007673E4">
              <w:rPr>
                <w:b/>
                <w:bCs/>
              </w:rPr>
              <w:t>Markets</w:t>
            </w:r>
            <w:r>
              <w:rPr>
                <w:b/>
                <w:bCs/>
              </w:rPr>
              <w:t xml:space="preserve">   +</w:t>
            </w:r>
          </w:p>
        </w:tc>
        <w:tc>
          <w:tcPr>
            <w:tcW w:w="1219" w:type="dxa"/>
            <w:vAlign w:val="bottom"/>
          </w:tcPr>
          <w:p w14:paraId="5577F935" w14:textId="77777777" w:rsidR="00BE542F" w:rsidRPr="007673E4" w:rsidRDefault="00BE542F" w:rsidP="003E4C24">
            <w:pPr>
              <w:pStyle w:val="ParaText"/>
              <w:spacing w:before="120"/>
              <w:jc w:val="center"/>
              <w:rPr>
                <w:b/>
                <w:bCs/>
              </w:rPr>
            </w:pPr>
            <w:r w:rsidRPr="007673E4">
              <w:rPr>
                <w:b/>
                <w:bCs/>
              </w:rPr>
              <w:t>Month / Year</w:t>
            </w:r>
          </w:p>
        </w:tc>
        <w:tc>
          <w:tcPr>
            <w:tcW w:w="1629" w:type="dxa"/>
            <w:vAlign w:val="bottom"/>
          </w:tcPr>
          <w:p w14:paraId="76A05020" w14:textId="77777777" w:rsidR="00BE542F" w:rsidRPr="007673E4" w:rsidRDefault="00BE542F" w:rsidP="003E4C24">
            <w:pPr>
              <w:pStyle w:val="ParaText"/>
              <w:spacing w:before="120"/>
              <w:jc w:val="center"/>
              <w:rPr>
                <w:b/>
                <w:bCs/>
              </w:rPr>
            </w:pPr>
            <w:r w:rsidRPr="007673E4">
              <w:rPr>
                <w:b/>
                <w:bCs/>
              </w:rPr>
              <w:t>Month / Year</w:t>
            </w:r>
          </w:p>
        </w:tc>
        <w:tc>
          <w:tcPr>
            <w:tcW w:w="1629" w:type="dxa"/>
            <w:vAlign w:val="bottom"/>
          </w:tcPr>
          <w:p w14:paraId="7F2ECEB6" w14:textId="77777777" w:rsidR="00BE542F" w:rsidRPr="007673E4" w:rsidRDefault="00BE542F" w:rsidP="003E4C24">
            <w:pPr>
              <w:pStyle w:val="ParaText"/>
              <w:spacing w:before="120"/>
              <w:jc w:val="center"/>
              <w:rPr>
                <w:b/>
                <w:bCs/>
              </w:rPr>
            </w:pPr>
            <w:r w:rsidRPr="007673E4">
              <w:rPr>
                <w:b/>
                <w:bCs/>
              </w:rPr>
              <w:t>Month / Year</w:t>
            </w:r>
          </w:p>
        </w:tc>
        <w:tc>
          <w:tcPr>
            <w:tcW w:w="1494" w:type="dxa"/>
            <w:vAlign w:val="bottom"/>
          </w:tcPr>
          <w:p w14:paraId="41BD1C52" w14:textId="77777777" w:rsidR="00BE542F" w:rsidRPr="007673E4" w:rsidRDefault="00BE542F" w:rsidP="003E4C24">
            <w:pPr>
              <w:pStyle w:val="ParaText"/>
              <w:spacing w:before="120"/>
              <w:jc w:val="center"/>
              <w:rPr>
                <w:b/>
                <w:bCs/>
              </w:rPr>
            </w:pPr>
            <w:r w:rsidRPr="007673E4">
              <w:rPr>
                <w:b/>
                <w:bCs/>
              </w:rPr>
              <w:t>Month / Year</w:t>
            </w:r>
          </w:p>
        </w:tc>
        <w:tc>
          <w:tcPr>
            <w:tcW w:w="1291" w:type="dxa"/>
            <w:vAlign w:val="bottom"/>
          </w:tcPr>
          <w:p w14:paraId="0EF4478A" w14:textId="77777777" w:rsidR="00BE542F" w:rsidRPr="007673E4" w:rsidRDefault="00BE542F" w:rsidP="003E4C24">
            <w:pPr>
              <w:pStyle w:val="ParaText"/>
              <w:spacing w:before="120"/>
              <w:jc w:val="center"/>
              <w:rPr>
                <w:b/>
                <w:bCs/>
              </w:rPr>
            </w:pPr>
            <w:r w:rsidRPr="007673E4">
              <w:rPr>
                <w:b/>
                <w:bCs/>
              </w:rPr>
              <w:t>Month / Year</w:t>
            </w:r>
          </w:p>
        </w:tc>
      </w:tr>
      <w:tr w:rsidR="00BE542F" w14:paraId="5FA8BE83" w14:textId="77777777" w:rsidTr="003E4C24">
        <w:tc>
          <w:tcPr>
            <w:tcW w:w="2314" w:type="dxa"/>
          </w:tcPr>
          <w:p w14:paraId="7ADB4317" w14:textId="77777777" w:rsidR="00BE542F" w:rsidRDefault="00BE542F" w:rsidP="003E4C24">
            <w:pPr>
              <w:pStyle w:val="ParaText"/>
              <w:spacing w:before="120"/>
            </w:pPr>
            <w:r>
              <w:t>LRE 1</w:t>
            </w:r>
          </w:p>
        </w:tc>
        <w:tc>
          <w:tcPr>
            <w:tcW w:w="1219" w:type="dxa"/>
          </w:tcPr>
          <w:p w14:paraId="48A9BBD8" w14:textId="77777777" w:rsidR="00BE542F" w:rsidRDefault="00BE542F" w:rsidP="003E4C24">
            <w:pPr>
              <w:pStyle w:val="ParaText"/>
              <w:spacing w:before="120"/>
            </w:pPr>
            <w:r>
              <w:t>X MW</w:t>
            </w:r>
          </w:p>
        </w:tc>
        <w:tc>
          <w:tcPr>
            <w:tcW w:w="1629" w:type="dxa"/>
          </w:tcPr>
          <w:p w14:paraId="32983C4A" w14:textId="77777777" w:rsidR="00BE542F" w:rsidRDefault="00BE542F" w:rsidP="003E4C24">
            <w:pPr>
              <w:pStyle w:val="ParaText"/>
              <w:spacing w:before="120"/>
            </w:pPr>
            <w:r>
              <w:t>X MW</w:t>
            </w:r>
          </w:p>
        </w:tc>
        <w:tc>
          <w:tcPr>
            <w:tcW w:w="1629" w:type="dxa"/>
          </w:tcPr>
          <w:p w14:paraId="154DAF2A" w14:textId="77777777" w:rsidR="00BE542F" w:rsidRDefault="00BE542F" w:rsidP="003E4C24">
            <w:pPr>
              <w:pStyle w:val="ParaText"/>
              <w:spacing w:before="120"/>
            </w:pPr>
            <w:r>
              <w:t>X MW</w:t>
            </w:r>
          </w:p>
        </w:tc>
        <w:tc>
          <w:tcPr>
            <w:tcW w:w="1494" w:type="dxa"/>
          </w:tcPr>
          <w:p w14:paraId="60458E49" w14:textId="77777777" w:rsidR="00BE542F" w:rsidRDefault="00BE542F" w:rsidP="003E4C24">
            <w:pPr>
              <w:pStyle w:val="ParaText"/>
              <w:spacing w:before="120"/>
            </w:pPr>
            <w:r>
              <w:t xml:space="preserve"> X MW</w:t>
            </w:r>
          </w:p>
        </w:tc>
        <w:tc>
          <w:tcPr>
            <w:tcW w:w="1291" w:type="dxa"/>
          </w:tcPr>
          <w:p w14:paraId="677070EA" w14:textId="77777777" w:rsidR="00BE542F" w:rsidRDefault="00BE542F" w:rsidP="003E4C24">
            <w:pPr>
              <w:pStyle w:val="ParaText"/>
              <w:spacing w:before="120"/>
            </w:pPr>
            <w:r>
              <w:t>X MW</w:t>
            </w:r>
          </w:p>
        </w:tc>
      </w:tr>
      <w:tr w:rsidR="00BE542F" w14:paraId="7933769B" w14:textId="77777777" w:rsidTr="003E4C24">
        <w:tc>
          <w:tcPr>
            <w:tcW w:w="2314" w:type="dxa"/>
          </w:tcPr>
          <w:p w14:paraId="67A18AF1" w14:textId="77777777" w:rsidR="00BE542F" w:rsidRDefault="00BE542F" w:rsidP="003E4C24">
            <w:pPr>
              <w:pStyle w:val="ParaText"/>
              <w:spacing w:before="120"/>
            </w:pPr>
            <w:r>
              <w:t>LRE 2 (if more than one LRE is represented by a MP)</w:t>
            </w:r>
          </w:p>
        </w:tc>
        <w:tc>
          <w:tcPr>
            <w:tcW w:w="1219" w:type="dxa"/>
          </w:tcPr>
          <w:p w14:paraId="3B5C3A36" w14:textId="77777777" w:rsidR="00BE542F" w:rsidRDefault="00BE542F" w:rsidP="003E4C24">
            <w:pPr>
              <w:pStyle w:val="ParaText"/>
              <w:spacing w:before="120"/>
            </w:pPr>
            <w:r>
              <w:t>X MW</w:t>
            </w:r>
          </w:p>
        </w:tc>
        <w:tc>
          <w:tcPr>
            <w:tcW w:w="1629" w:type="dxa"/>
          </w:tcPr>
          <w:p w14:paraId="5C31EA5B" w14:textId="77777777" w:rsidR="00BE542F" w:rsidRDefault="00BE542F" w:rsidP="003E4C24">
            <w:pPr>
              <w:pStyle w:val="ParaText"/>
              <w:spacing w:before="120"/>
            </w:pPr>
            <w:r>
              <w:t>X MW</w:t>
            </w:r>
          </w:p>
        </w:tc>
        <w:tc>
          <w:tcPr>
            <w:tcW w:w="1629" w:type="dxa"/>
          </w:tcPr>
          <w:p w14:paraId="01F87C81" w14:textId="77777777" w:rsidR="00BE542F" w:rsidRDefault="00BE542F" w:rsidP="003E4C24">
            <w:pPr>
              <w:pStyle w:val="ParaText"/>
              <w:spacing w:before="120"/>
            </w:pPr>
            <w:r>
              <w:t>X MW</w:t>
            </w:r>
          </w:p>
        </w:tc>
        <w:tc>
          <w:tcPr>
            <w:tcW w:w="1494" w:type="dxa"/>
          </w:tcPr>
          <w:p w14:paraId="34CD135E" w14:textId="77777777" w:rsidR="00BE542F" w:rsidRDefault="00BE542F" w:rsidP="003E4C24">
            <w:pPr>
              <w:pStyle w:val="ParaText"/>
              <w:spacing w:before="120"/>
            </w:pPr>
            <w:r>
              <w:t xml:space="preserve"> X MW</w:t>
            </w:r>
          </w:p>
        </w:tc>
        <w:tc>
          <w:tcPr>
            <w:tcW w:w="1291" w:type="dxa"/>
          </w:tcPr>
          <w:p w14:paraId="3A6CC0F6" w14:textId="77777777" w:rsidR="00BE542F" w:rsidRDefault="00BE542F" w:rsidP="003E4C24">
            <w:pPr>
              <w:pStyle w:val="ParaText"/>
              <w:spacing w:before="120"/>
            </w:pPr>
            <w:r>
              <w:t>X MW</w:t>
            </w:r>
          </w:p>
        </w:tc>
      </w:tr>
    </w:tbl>
    <w:p w14:paraId="4659FEF6" w14:textId="77777777" w:rsidR="00BE542F" w:rsidRPr="001F4888" w:rsidRDefault="00BE542F" w:rsidP="00BE542F">
      <w:pPr>
        <w:pStyle w:val="ParaText"/>
        <w:spacing w:before="120"/>
      </w:pPr>
    </w:p>
    <w:p w14:paraId="0596F784" w14:textId="77777777" w:rsidR="00BE542F" w:rsidRDefault="00BE542F" w:rsidP="00BE542F">
      <w:pPr>
        <w:pStyle w:val="ParaText"/>
        <w:spacing w:before="120"/>
        <w:rPr>
          <w:szCs w:val="24"/>
        </w:rPr>
      </w:pPr>
      <w:r w:rsidRPr="001F4888">
        <w:rPr>
          <w:szCs w:val="24"/>
        </w:rPr>
        <w:t>A Market Participant may, but is not required to</w:t>
      </w:r>
      <w:r>
        <w:rPr>
          <w:szCs w:val="24"/>
        </w:rPr>
        <w:t>,</w:t>
      </w:r>
      <w:r w:rsidRPr="001F4888">
        <w:rPr>
          <w:szCs w:val="24"/>
        </w:rPr>
        <w:t xml:space="preserve"> provide the Forward Showing </w:t>
      </w:r>
      <w:r>
        <w:rPr>
          <w:szCs w:val="24"/>
        </w:rPr>
        <w:t>Submission</w:t>
      </w:r>
      <w:r w:rsidRPr="001F4888">
        <w:rPr>
          <w:szCs w:val="24"/>
        </w:rPr>
        <w:t xml:space="preserve"> to </w:t>
      </w:r>
      <w:r>
        <w:rPr>
          <w:szCs w:val="24"/>
        </w:rPr>
        <w:t>the Market Operator.</w:t>
      </w:r>
      <w:r w:rsidRPr="001F4888">
        <w:rPr>
          <w:szCs w:val="24"/>
        </w:rPr>
        <w:t xml:space="preserve"> </w:t>
      </w:r>
      <w:r>
        <w:rPr>
          <w:szCs w:val="24"/>
        </w:rPr>
        <w:t>T</w:t>
      </w:r>
      <w:r w:rsidRPr="001F4888">
        <w:rPr>
          <w:szCs w:val="24"/>
        </w:rPr>
        <w:t xml:space="preserve">he inputs to the Day-Ahead </w:t>
      </w:r>
      <w:r>
        <w:rPr>
          <w:szCs w:val="24"/>
        </w:rPr>
        <w:t xml:space="preserve">Market </w:t>
      </w:r>
      <w:r w:rsidRPr="001F4888">
        <w:rPr>
          <w:szCs w:val="24"/>
        </w:rPr>
        <w:t xml:space="preserve">and Real Time Balancing Market must be based on </w:t>
      </w:r>
      <w:r>
        <w:rPr>
          <w:szCs w:val="24"/>
        </w:rPr>
        <w:t xml:space="preserve">the </w:t>
      </w:r>
      <w:r w:rsidRPr="001F4888">
        <w:rPr>
          <w:szCs w:val="24"/>
        </w:rPr>
        <w:t xml:space="preserve">factual and truthfully reported characteristics </w:t>
      </w:r>
      <w:r>
        <w:rPr>
          <w:szCs w:val="24"/>
        </w:rPr>
        <w:t>that are</w:t>
      </w:r>
      <w:r w:rsidRPr="001F4888">
        <w:rPr>
          <w:szCs w:val="24"/>
        </w:rPr>
        <w:t xml:space="preserve"> used to support the </w:t>
      </w:r>
      <w:r>
        <w:rPr>
          <w:szCs w:val="24"/>
        </w:rPr>
        <w:t>Submission</w:t>
      </w:r>
      <w:r w:rsidRPr="001F4888">
        <w:rPr>
          <w:szCs w:val="24"/>
        </w:rPr>
        <w:t xml:space="preserve">.  </w:t>
      </w:r>
    </w:p>
    <w:p w14:paraId="0BA235C2" w14:textId="77777777" w:rsidR="00BE542F" w:rsidRPr="00264814" w:rsidRDefault="00BE542F" w:rsidP="00264814">
      <w:pPr>
        <w:rPr>
          <w:color w:val="153D63" w:themeColor="text2" w:themeTint="E6"/>
          <w:sz w:val="28"/>
          <w:szCs w:val="28"/>
        </w:rPr>
      </w:pPr>
      <w:r w:rsidRPr="00264814">
        <w:rPr>
          <w:color w:val="153D63" w:themeColor="text2" w:themeTint="E6"/>
          <w:sz w:val="28"/>
          <w:szCs w:val="28"/>
        </w:rPr>
        <w:t xml:space="preserve">1.4 Day Ahead and initial Reliability Unit Commitment Obligation </w:t>
      </w:r>
    </w:p>
    <w:p w14:paraId="68F50CCB" w14:textId="77777777" w:rsidR="00BE542F" w:rsidRPr="00264814" w:rsidRDefault="00BE542F" w:rsidP="00264814">
      <w:pPr>
        <w:rPr>
          <w:b/>
          <w:color w:val="153D63" w:themeColor="text2" w:themeTint="E6"/>
          <w:sz w:val="28"/>
          <w:szCs w:val="28"/>
        </w:rPr>
      </w:pPr>
      <w:r w:rsidRPr="00264814">
        <w:rPr>
          <w:color w:val="153D63" w:themeColor="text2" w:themeTint="E6"/>
          <w:sz w:val="28"/>
          <w:szCs w:val="28"/>
        </w:rPr>
        <w:t>1.4.1 Must Offer Obligation</w:t>
      </w:r>
    </w:p>
    <w:p w14:paraId="1BF8C63A" w14:textId="77777777" w:rsidR="00BE542F" w:rsidRPr="001F4888" w:rsidRDefault="00BE542F" w:rsidP="00BE542F">
      <w:pPr>
        <w:pStyle w:val="ParaText"/>
        <w:spacing w:before="120"/>
        <w:rPr>
          <w:szCs w:val="24"/>
        </w:rPr>
      </w:pPr>
      <w:r w:rsidRPr="001F4888">
        <w:rPr>
          <w:szCs w:val="24"/>
        </w:rPr>
        <w:t xml:space="preserve">Market Participants must offer </w:t>
      </w:r>
      <w:r>
        <w:rPr>
          <w:szCs w:val="24"/>
        </w:rPr>
        <w:t xml:space="preserve">a </w:t>
      </w:r>
      <w:r w:rsidRPr="001F4888">
        <w:rPr>
          <w:szCs w:val="24"/>
        </w:rPr>
        <w:t>minimum amount of Resource capacity for the Day</w:t>
      </w:r>
      <w:r>
        <w:rPr>
          <w:szCs w:val="24"/>
        </w:rPr>
        <w:t>-</w:t>
      </w:r>
      <w:r w:rsidRPr="001F4888">
        <w:rPr>
          <w:szCs w:val="24"/>
        </w:rPr>
        <w:t xml:space="preserve">Ahead Market and </w:t>
      </w:r>
      <w:r>
        <w:rPr>
          <w:szCs w:val="24"/>
        </w:rPr>
        <w:t xml:space="preserve">the same minimum amount </w:t>
      </w:r>
      <w:r w:rsidRPr="001F4888">
        <w:rPr>
          <w:szCs w:val="24"/>
        </w:rPr>
        <w:t xml:space="preserve">for the first RUC process to allow the market to evaluate all subsequent operating intervals within all hours for a given </w:t>
      </w:r>
      <w:r>
        <w:rPr>
          <w:szCs w:val="24"/>
        </w:rPr>
        <w:t>O</w:t>
      </w:r>
      <w:r w:rsidRPr="001F4888">
        <w:rPr>
          <w:szCs w:val="24"/>
        </w:rPr>
        <w:t xml:space="preserve">perating </w:t>
      </w:r>
      <w:r>
        <w:rPr>
          <w:szCs w:val="24"/>
        </w:rPr>
        <w:t>D</w:t>
      </w:r>
      <w:r w:rsidRPr="001F4888">
        <w:rPr>
          <w:szCs w:val="24"/>
        </w:rPr>
        <w:t xml:space="preserve">ay. </w:t>
      </w:r>
      <w:r>
        <w:rPr>
          <w:szCs w:val="24"/>
        </w:rPr>
        <w:t xml:space="preserve">The </w:t>
      </w:r>
      <w:r>
        <w:t xml:space="preserve">Must Offer Obligation can be </w:t>
      </w:r>
      <w:r w:rsidRPr="00175084" w:rsidDel="00FC258D">
        <w:t>met by self-schedule energy only, a combination of self-schedule energy and economic offer range,</w:t>
      </w:r>
      <w:r w:rsidDel="00FC258D">
        <w:t xml:space="preserve"> </w:t>
      </w:r>
      <w:r w:rsidRPr="00175084" w:rsidDel="00FC258D">
        <w:t>or economic offer range only</w:t>
      </w:r>
      <w:r>
        <w:t>, by submitting Resource Offers</w:t>
      </w:r>
      <w:r w:rsidRPr="00175084" w:rsidDel="00FC258D">
        <w:t xml:space="preserve"> </w:t>
      </w:r>
      <w:r>
        <w:t xml:space="preserve">with </w:t>
      </w:r>
      <w:proofErr w:type="gramStart"/>
      <w:r w:rsidDel="00FC258D">
        <w:t xml:space="preserve">a  </w:t>
      </w:r>
      <w:r w:rsidRPr="001F4888">
        <w:rPr>
          <w:szCs w:val="24"/>
        </w:rPr>
        <w:t>Commitment</w:t>
      </w:r>
      <w:proofErr w:type="gramEnd"/>
      <w:r w:rsidRPr="001F4888">
        <w:rPr>
          <w:szCs w:val="24"/>
        </w:rPr>
        <w:t xml:space="preserve"> Status of Market, Self</w:t>
      </w:r>
      <w:r>
        <w:rPr>
          <w:szCs w:val="24"/>
        </w:rPr>
        <w:t>,</w:t>
      </w:r>
      <w:r w:rsidRPr="001F4888">
        <w:rPr>
          <w:szCs w:val="24"/>
        </w:rPr>
        <w:t xml:space="preserve"> or Reliability Must Run in the Day</w:t>
      </w:r>
      <w:r>
        <w:rPr>
          <w:szCs w:val="24"/>
        </w:rPr>
        <w:t>-</w:t>
      </w:r>
      <w:r w:rsidRPr="001F4888">
        <w:rPr>
          <w:szCs w:val="24"/>
        </w:rPr>
        <w:t>Ahead Market</w:t>
      </w:r>
      <w:r w:rsidRPr="00175084">
        <w:t>.</w:t>
      </w:r>
      <w:r>
        <w:t xml:space="preserve">  The Maximum Economic Capacity Operating Limit of such Resources will be used by the Market </w:t>
      </w:r>
      <w:r>
        <w:lastRenderedPageBreak/>
        <w:t>Operator to assess compliance with the Must Offer Obligation.</w:t>
      </w:r>
      <w:r>
        <w:rPr>
          <w:szCs w:val="24"/>
        </w:rPr>
        <w:t xml:space="preserve">  </w:t>
      </w:r>
      <w:r w:rsidRPr="001F4888">
        <w:rPr>
          <w:szCs w:val="24"/>
        </w:rPr>
        <w:t xml:space="preserve">After satisfying the </w:t>
      </w:r>
      <w:r>
        <w:rPr>
          <w:szCs w:val="24"/>
        </w:rPr>
        <w:t>Day-Ahead and RUC M</w:t>
      </w:r>
      <w:r w:rsidRPr="001F4888">
        <w:rPr>
          <w:szCs w:val="24"/>
        </w:rPr>
        <w:t xml:space="preserve">ust </w:t>
      </w:r>
      <w:r>
        <w:rPr>
          <w:szCs w:val="24"/>
        </w:rPr>
        <w:t>O</w:t>
      </w:r>
      <w:r w:rsidRPr="001F4888">
        <w:rPr>
          <w:szCs w:val="24"/>
        </w:rPr>
        <w:t xml:space="preserve">ffer </w:t>
      </w:r>
      <w:r>
        <w:rPr>
          <w:szCs w:val="24"/>
        </w:rPr>
        <w:t>O</w:t>
      </w:r>
      <w:r w:rsidRPr="001F4888">
        <w:rPr>
          <w:szCs w:val="24"/>
        </w:rPr>
        <w:t>bligation, a Market Participant may offer any remaining Energy or capacity to the market at its discretion</w:t>
      </w:r>
      <w:r>
        <w:rPr>
          <w:szCs w:val="24"/>
        </w:rPr>
        <w:t xml:space="preserve"> for purposes of its Must Offer Obligation</w:t>
      </w:r>
      <w:r w:rsidRPr="001F4888">
        <w:rPr>
          <w:szCs w:val="24"/>
        </w:rPr>
        <w:t>. </w:t>
      </w:r>
    </w:p>
    <w:p w14:paraId="31D969ED" w14:textId="77777777" w:rsidR="00BE542F" w:rsidRPr="001F4888" w:rsidRDefault="00BE542F" w:rsidP="006247A6">
      <w:pPr>
        <w:pStyle w:val="ParaText"/>
        <w:numPr>
          <w:ilvl w:val="0"/>
          <w:numId w:val="4"/>
        </w:numPr>
        <w:spacing w:before="120"/>
        <w:ind w:left="720" w:hanging="720"/>
        <w:rPr>
          <w:szCs w:val="24"/>
        </w:rPr>
      </w:pPr>
      <w:r w:rsidRPr="001F4888">
        <w:rPr>
          <w:szCs w:val="24"/>
        </w:rPr>
        <w:t>For Each Operating Hour in the Day</w:t>
      </w:r>
      <w:r>
        <w:rPr>
          <w:szCs w:val="24"/>
        </w:rPr>
        <w:t>-</w:t>
      </w:r>
      <w:r w:rsidRPr="001F4888">
        <w:rPr>
          <w:szCs w:val="24"/>
        </w:rPr>
        <w:t xml:space="preserve">Ahead Market, the </w:t>
      </w:r>
      <w:r>
        <w:rPr>
          <w:szCs w:val="24"/>
        </w:rPr>
        <w:t>amount</w:t>
      </w:r>
      <w:r w:rsidRPr="001F4888">
        <w:rPr>
          <w:szCs w:val="24"/>
        </w:rPr>
        <w:t xml:space="preserve"> of </w:t>
      </w:r>
      <w:r>
        <w:rPr>
          <w:szCs w:val="24"/>
        </w:rPr>
        <w:t>Resource capacity that a Market Participant m</w:t>
      </w:r>
      <w:r w:rsidRPr="001F4888">
        <w:rPr>
          <w:szCs w:val="24"/>
        </w:rPr>
        <w:t xml:space="preserve">ust </w:t>
      </w:r>
      <w:r>
        <w:rPr>
          <w:szCs w:val="24"/>
        </w:rPr>
        <w:t>o</w:t>
      </w:r>
      <w:r w:rsidRPr="001F4888">
        <w:rPr>
          <w:szCs w:val="24"/>
        </w:rPr>
        <w:t>ffer</w:t>
      </w:r>
      <w:r>
        <w:rPr>
          <w:szCs w:val="24"/>
        </w:rPr>
        <w:t xml:space="preserve"> to Markets+</w:t>
      </w:r>
      <w:r w:rsidRPr="001F4888">
        <w:rPr>
          <w:szCs w:val="24"/>
        </w:rPr>
        <w:t xml:space="preserve"> consists of the sum of </w:t>
      </w:r>
      <w:r>
        <w:rPr>
          <w:szCs w:val="24"/>
        </w:rPr>
        <w:t xml:space="preserve">sections </w:t>
      </w:r>
      <w:r w:rsidRPr="001F4888">
        <w:rPr>
          <w:szCs w:val="24"/>
        </w:rPr>
        <w:t>1</w:t>
      </w:r>
      <w:r>
        <w:rPr>
          <w:szCs w:val="24"/>
        </w:rPr>
        <w:t xml:space="preserve"> through </w:t>
      </w:r>
      <w:r w:rsidRPr="001F4888">
        <w:rPr>
          <w:szCs w:val="24"/>
        </w:rPr>
        <w:t xml:space="preserve">5 below:  </w:t>
      </w:r>
    </w:p>
    <w:p w14:paraId="7CC16E2E" w14:textId="77777777" w:rsidR="00BE542F" w:rsidRPr="001F4888" w:rsidRDefault="00BE542F" w:rsidP="006247A6">
      <w:pPr>
        <w:pStyle w:val="ParaText"/>
        <w:numPr>
          <w:ilvl w:val="0"/>
          <w:numId w:val="3"/>
        </w:numPr>
        <w:spacing w:before="120"/>
        <w:ind w:left="1260" w:hanging="540"/>
      </w:pPr>
      <w:r>
        <w:t xml:space="preserve">The Hourly Mid-Term Load Forecast represents the </w:t>
      </w:r>
      <w:proofErr w:type="gramStart"/>
      <w:r>
        <w:t>quantity,</w:t>
      </w:r>
      <w:proofErr w:type="gramEnd"/>
      <w:r>
        <w:t xml:space="preserve"> expressed on an hourly </w:t>
      </w:r>
      <w:proofErr w:type="gramStart"/>
      <w:r>
        <w:t>basis,</w:t>
      </w:r>
      <w:proofErr w:type="gramEnd"/>
      <w:r>
        <w:t xml:space="preserve"> that the Market Operator forecasts in accordance with Section 4.1.2 </w:t>
      </w:r>
      <w:r w:rsidDel="00885997">
        <w:t xml:space="preserve">that is attributed to that </w:t>
      </w:r>
      <w:r>
        <w:t xml:space="preserve">Market Participant.     </w:t>
      </w:r>
    </w:p>
    <w:p w14:paraId="23ACC6AF" w14:textId="77777777" w:rsidR="00BE542F" w:rsidRPr="001F4888" w:rsidRDefault="00BE542F" w:rsidP="006247A6">
      <w:pPr>
        <w:pStyle w:val="ParaText"/>
        <w:numPr>
          <w:ilvl w:val="0"/>
          <w:numId w:val="3"/>
        </w:numPr>
        <w:spacing w:before="120"/>
        <w:ind w:left="1260" w:hanging="540"/>
        <w:rPr>
          <w:szCs w:val="24"/>
        </w:rPr>
      </w:pPr>
      <w:r>
        <w:rPr>
          <w:szCs w:val="24"/>
        </w:rPr>
        <w:t xml:space="preserve">The </w:t>
      </w:r>
      <w:r w:rsidRPr="001F4888">
        <w:rPr>
          <w:szCs w:val="24"/>
        </w:rPr>
        <w:t xml:space="preserve">Flexibility Reserve Product </w:t>
      </w:r>
      <w:r>
        <w:rPr>
          <w:szCs w:val="24"/>
        </w:rPr>
        <w:t>O</w:t>
      </w:r>
      <w:r w:rsidRPr="001F4888">
        <w:rPr>
          <w:szCs w:val="24"/>
        </w:rPr>
        <w:t xml:space="preserve">bligation represents the Short-Term Flex Up and Mid-Term Flex Up obligation </w:t>
      </w:r>
      <w:r>
        <w:rPr>
          <w:szCs w:val="24"/>
        </w:rPr>
        <w:t>amount</w:t>
      </w:r>
      <w:r w:rsidRPr="001F4888">
        <w:rPr>
          <w:szCs w:val="24"/>
        </w:rPr>
        <w:t xml:space="preserve">, expressed on an hourly basis, </w:t>
      </w:r>
      <w:r w:rsidRPr="007673E4">
        <w:rPr>
          <w:szCs w:val="24"/>
        </w:rPr>
        <w:t>that the Market Operator forecasts for each Asset Owner in accordance with Section 4.1.3(2)</w:t>
      </w:r>
      <w:r>
        <w:rPr>
          <w:szCs w:val="24"/>
        </w:rPr>
        <w:t>.</w:t>
      </w:r>
      <w:r w:rsidRPr="007673E4">
        <w:rPr>
          <w:szCs w:val="24"/>
        </w:rPr>
        <w:t xml:space="preserve"> </w:t>
      </w:r>
      <w:r>
        <w:rPr>
          <w:szCs w:val="24"/>
        </w:rPr>
        <w:t>T</w:t>
      </w:r>
      <w:r w:rsidRPr="007673E4">
        <w:rPr>
          <w:szCs w:val="24"/>
        </w:rPr>
        <w:t xml:space="preserve">he Asset Owner obligations are </w:t>
      </w:r>
      <w:r>
        <w:rPr>
          <w:szCs w:val="24"/>
        </w:rPr>
        <w:t xml:space="preserve">then </w:t>
      </w:r>
      <w:r w:rsidRPr="007673E4">
        <w:rPr>
          <w:szCs w:val="24"/>
        </w:rPr>
        <w:t>summed by Market Participant.</w:t>
      </w:r>
    </w:p>
    <w:p w14:paraId="364EF7AC" w14:textId="77777777" w:rsidR="00BE542F" w:rsidRPr="00681EBB" w:rsidRDefault="00BE542F" w:rsidP="006247A6">
      <w:pPr>
        <w:pStyle w:val="ParaText"/>
        <w:numPr>
          <w:ilvl w:val="0"/>
          <w:numId w:val="3"/>
        </w:numPr>
        <w:spacing w:before="120"/>
        <w:ind w:left="1260" w:hanging="540"/>
      </w:pPr>
      <w:bookmarkStart w:id="80" w:name="_Hlk170391523"/>
      <w:r>
        <w:t>WRAP Operations Program Hourly Holdback</w:t>
      </w:r>
      <w:bookmarkEnd w:id="80"/>
      <w:r>
        <w:t xml:space="preserve">: the hourly quantity issued by the WRAP Operations program. A </w:t>
      </w:r>
      <w:r w:rsidRPr="00994A68">
        <w:t>Market Participant providing a WRAP holdback will include the MW value as a positive value to represent an increase to a Market Participant’s Must Offer Obligation</w:t>
      </w:r>
      <w:r>
        <w:t xml:space="preserve">.  </w:t>
      </w:r>
      <w:r w:rsidRPr="00994A68">
        <w:t xml:space="preserve">A Market Participant receiving </w:t>
      </w:r>
      <w:proofErr w:type="gramStart"/>
      <w:r w:rsidRPr="00994A68">
        <w:t>a WRAP</w:t>
      </w:r>
      <w:proofErr w:type="gramEnd"/>
      <w:r w:rsidRPr="00994A68">
        <w:t xml:space="preserve"> holdback will include the MW value as a negative value to represent a decrease to a Market Participant’s Must Offer</w:t>
      </w:r>
      <w:r>
        <w:t xml:space="preserve"> </w:t>
      </w:r>
      <w:r w:rsidRPr="00994A68">
        <w:t>Obligation.</w:t>
      </w:r>
      <w:r>
        <w:t xml:space="preserve"> For WRAP holdback transactions that both source and sink within the Markets+ footprint, this requirement may be deployed closer to the start of the Real Time Balancing Market but is issued prior to the Day Ahead Market.  For WRAP holdback that has a source or a sink external to the Markets+ footprint, the holdback quantity is equal to the amount of Energy deployed for the Operating Hour between the parties as represented by a confirmed </w:t>
      </w:r>
      <w:proofErr w:type="spellStart"/>
      <w:r>
        <w:t>etag</w:t>
      </w:r>
      <w:bookmarkStart w:id="81" w:name="_Hlk171239516"/>
      <w:proofErr w:type="spellEnd"/>
      <w:r>
        <w:t xml:space="preserve">;   if the MW Qty on the e-tag is less than the confirmed MW Qty, the MW Qty on the e-tag will be used.  This data will be provided by the Market Participant, including any WRAP Operations Program Hourly Holdback Requirement that is converted to an energy deployment on the Operating Day. </w:t>
      </w:r>
    </w:p>
    <w:bookmarkEnd w:id="81"/>
    <w:p w14:paraId="0E8061FF" w14:textId="77777777" w:rsidR="00BE542F" w:rsidRPr="001F4888" w:rsidRDefault="00BE542F" w:rsidP="006247A6">
      <w:pPr>
        <w:pStyle w:val="ParaText"/>
        <w:numPr>
          <w:ilvl w:val="0"/>
          <w:numId w:val="3"/>
        </w:numPr>
        <w:spacing w:before="120"/>
        <w:ind w:left="1260" w:hanging="540"/>
        <w:rPr>
          <w:szCs w:val="24"/>
        </w:rPr>
      </w:pPr>
      <w:r w:rsidRPr="001F4888">
        <w:rPr>
          <w:szCs w:val="24"/>
        </w:rPr>
        <w:t>Net Position.  The sum of each Market Participant’s power purchases and sales Contracts and Transfers as represented by qualifying e-tags</w:t>
      </w:r>
      <w:r>
        <w:rPr>
          <w:szCs w:val="24"/>
        </w:rPr>
        <w:t xml:space="preserve"> or other established process of communication.</w:t>
      </w:r>
      <w:r w:rsidRPr="001F4888">
        <w:rPr>
          <w:szCs w:val="24"/>
        </w:rPr>
        <w:t xml:space="preserve"> </w:t>
      </w:r>
      <w:r>
        <w:rPr>
          <w:szCs w:val="24"/>
        </w:rPr>
        <w:t>T</w:t>
      </w:r>
      <w:r w:rsidRPr="001F4888">
        <w:rPr>
          <w:szCs w:val="24"/>
        </w:rPr>
        <w:t xml:space="preserve">his data will be provided by the Market Participant. </w:t>
      </w:r>
      <w:r>
        <w:rPr>
          <w:szCs w:val="24"/>
        </w:rPr>
        <w:t xml:space="preserve">The net position includes High Priority Transactions representing interchange import transactions and export transactions from the Markets + Footprint. If a Market Participant wishes to include a High Priority Transaction in its net position, that transaction must meet the requirements detailed in Section [High Priority Transactions].  For clarity, any energy deployed via the WRAP holdback will not </w:t>
      </w:r>
      <w:r>
        <w:rPr>
          <w:szCs w:val="24"/>
        </w:rPr>
        <w:lastRenderedPageBreak/>
        <w:t xml:space="preserve">count towards the Net Position.  High Priority Transactions that are WRAP holdback, or energy deployed under the WRAP Operations program are not considered Net Position and instead are contemplated in (3) </w:t>
      </w:r>
      <w:r>
        <w:t xml:space="preserve">WRAP Operations Program Hourly Holdback </w:t>
      </w:r>
      <w:r>
        <w:rPr>
          <w:szCs w:val="24"/>
        </w:rPr>
        <w:t xml:space="preserve">above.    </w:t>
      </w:r>
    </w:p>
    <w:p w14:paraId="6E3C2550" w14:textId="77777777" w:rsidR="00BE542F" w:rsidRPr="001F4888" w:rsidRDefault="00BE542F" w:rsidP="006247A6">
      <w:pPr>
        <w:pStyle w:val="ParaText"/>
        <w:numPr>
          <w:ilvl w:val="0"/>
          <w:numId w:val="3"/>
        </w:numPr>
        <w:spacing w:before="120"/>
        <w:ind w:left="1260" w:hanging="540"/>
      </w:pPr>
      <w:r>
        <w:t>MSRs self-charge schedule represented hourly in Resource Offer.</w:t>
      </w:r>
    </w:p>
    <w:p w14:paraId="14705850" w14:textId="77777777" w:rsidR="00BE542F" w:rsidRPr="001F4888" w:rsidRDefault="00BE542F" w:rsidP="00BE542F">
      <w:pPr>
        <w:pStyle w:val="ParaText"/>
        <w:spacing w:before="120"/>
      </w:pPr>
      <w:r>
        <w:t xml:space="preserve">Day Ahead Must Offer Obligation as </w:t>
      </w:r>
      <w:proofErr w:type="gramStart"/>
      <w:r>
        <w:t>summarized</w:t>
      </w:r>
      <w:proofErr w:type="gramEnd"/>
      <w:r>
        <w:t xml:space="preserve"> in the Table below:</w:t>
      </w:r>
    </w:p>
    <w:tbl>
      <w:tblPr>
        <w:tblStyle w:val="TableGrid"/>
        <w:tblW w:w="8005" w:type="dxa"/>
        <w:tblInd w:w="1530" w:type="dxa"/>
        <w:tblLayout w:type="fixed"/>
        <w:tblLook w:val="06A0" w:firstRow="1" w:lastRow="0" w:firstColumn="1" w:lastColumn="0" w:noHBand="1" w:noVBand="1"/>
      </w:tblPr>
      <w:tblGrid>
        <w:gridCol w:w="520"/>
        <w:gridCol w:w="3982"/>
        <w:gridCol w:w="3492"/>
        <w:gridCol w:w="11"/>
      </w:tblGrid>
      <w:tr w:rsidR="00BE542F" w:rsidRPr="001F4888" w14:paraId="477DD181" w14:textId="77777777" w:rsidTr="003E4C24">
        <w:trPr>
          <w:trHeight w:val="306"/>
        </w:trPr>
        <w:tc>
          <w:tcPr>
            <w:tcW w:w="520" w:type="dxa"/>
          </w:tcPr>
          <w:p w14:paraId="34F8BE6B" w14:textId="77777777" w:rsidR="00BE542F" w:rsidRPr="001F4888" w:rsidRDefault="00BE542F" w:rsidP="003E4C24">
            <w:pPr>
              <w:spacing w:before="120"/>
            </w:pPr>
          </w:p>
        </w:tc>
        <w:tc>
          <w:tcPr>
            <w:tcW w:w="3982" w:type="dxa"/>
          </w:tcPr>
          <w:p w14:paraId="45ADE20B" w14:textId="77777777" w:rsidR="00BE542F" w:rsidRPr="001F4888" w:rsidRDefault="00BE542F" w:rsidP="003E4C24">
            <w:pPr>
              <w:spacing w:before="120"/>
            </w:pPr>
            <w:r>
              <w:t>Day-Ahead Must Offer Components</w:t>
            </w:r>
          </w:p>
        </w:tc>
        <w:tc>
          <w:tcPr>
            <w:tcW w:w="3503" w:type="dxa"/>
            <w:gridSpan w:val="2"/>
          </w:tcPr>
          <w:p w14:paraId="3AC58B4D" w14:textId="77777777" w:rsidR="00BE542F" w:rsidRPr="001F4888" w:rsidRDefault="00BE542F" w:rsidP="003E4C24">
            <w:pPr>
              <w:spacing w:before="120"/>
            </w:pPr>
            <w:r>
              <w:t xml:space="preserve">Hourly MW Amount </w:t>
            </w:r>
          </w:p>
        </w:tc>
      </w:tr>
      <w:tr w:rsidR="00BE542F" w:rsidRPr="001F4888" w14:paraId="6B39D445" w14:textId="77777777" w:rsidTr="003E4C24">
        <w:trPr>
          <w:gridAfter w:val="1"/>
          <w:wAfter w:w="11" w:type="dxa"/>
          <w:trHeight w:val="306"/>
        </w:trPr>
        <w:tc>
          <w:tcPr>
            <w:tcW w:w="520" w:type="dxa"/>
          </w:tcPr>
          <w:p w14:paraId="40DB151C" w14:textId="77777777" w:rsidR="00BE542F" w:rsidRPr="001F4888" w:rsidRDefault="00BE542F" w:rsidP="003E4C24">
            <w:pPr>
              <w:spacing w:before="120"/>
            </w:pPr>
            <w:r w:rsidRPr="001F4888">
              <w:t>1</w:t>
            </w:r>
          </w:p>
        </w:tc>
        <w:tc>
          <w:tcPr>
            <w:tcW w:w="3982" w:type="dxa"/>
          </w:tcPr>
          <w:p w14:paraId="2FC5A572" w14:textId="77777777" w:rsidR="00BE542F" w:rsidRPr="001F4888" w:rsidRDefault="00BE542F" w:rsidP="003E4C24">
            <w:pPr>
              <w:spacing w:before="120"/>
            </w:pPr>
            <w:r w:rsidRPr="001F4888">
              <w:t xml:space="preserve">Hourly Mid-Term Load Forecast </w:t>
            </w:r>
          </w:p>
        </w:tc>
        <w:tc>
          <w:tcPr>
            <w:tcW w:w="3492" w:type="dxa"/>
          </w:tcPr>
          <w:p w14:paraId="4C68CAD3" w14:textId="77777777" w:rsidR="00BE542F" w:rsidRPr="001F4888" w:rsidRDefault="00BE542F" w:rsidP="003E4C24">
            <w:pPr>
              <w:spacing w:before="120"/>
            </w:pPr>
          </w:p>
        </w:tc>
      </w:tr>
      <w:tr w:rsidR="00BE542F" w:rsidRPr="001F4888" w14:paraId="1858F7FB" w14:textId="77777777" w:rsidTr="003E4C24">
        <w:trPr>
          <w:gridAfter w:val="1"/>
          <w:wAfter w:w="11" w:type="dxa"/>
          <w:trHeight w:val="306"/>
        </w:trPr>
        <w:tc>
          <w:tcPr>
            <w:tcW w:w="520" w:type="dxa"/>
          </w:tcPr>
          <w:p w14:paraId="2491502E" w14:textId="77777777" w:rsidR="00BE542F" w:rsidRPr="001F4888" w:rsidRDefault="00BE542F" w:rsidP="003E4C24">
            <w:pPr>
              <w:spacing w:before="120"/>
            </w:pPr>
            <w:r w:rsidRPr="001F4888">
              <w:t>2</w:t>
            </w:r>
          </w:p>
        </w:tc>
        <w:tc>
          <w:tcPr>
            <w:tcW w:w="3982" w:type="dxa"/>
          </w:tcPr>
          <w:p w14:paraId="75BDCAF3" w14:textId="77777777" w:rsidR="00BE542F" w:rsidRPr="001F4888" w:rsidRDefault="00BE542F" w:rsidP="003E4C24">
            <w:pPr>
              <w:spacing w:before="120"/>
            </w:pPr>
            <w:r w:rsidRPr="001F4888">
              <w:t xml:space="preserve">Hourly Flexibility Reserve Products obligations.  </w:t>
            </w:r>
          </w:p>
        </w:tc>
        <w:tc>
          <w:tcPr>
            <w:tcW w:w="3492" w:type="dxa"/>
          </w:tcPr>
          <w:p w14:paraId="0D1FCF1B" w14:textId="77777777" w:rsidR="00BE542F" w:rsidRPr="001F4888" w:rsidRDefault="00BE542F" w:rsidP="003E4C24">
            <w:pPr>
              <w:spacing w:before="120"/>
            </w:pPr>
          </w:p>
        </w:tc>
      </w:tr>
      <w:tr w:rsidR="00BE542F" w:rsidRPr="001F4888" w14:paraId="07CD6B58" w14:textId="77777777" w:rsidTr="003E4C24">
        <w:trPr>
          <w:gridAfter w:val="1"/>
          <w:wAfter w:w="11" w:type="dxa"/>
          <w:trHeight w:val="306"/>
        </w:trPr>
        <w:tc>
          <w:tcPr>
            <w:tcW w:w="520" w:type="dxa"/>
          </w:tcPr>
          <w:p w14:paraId="282E225D" w14:textId="77777777" w:rsidR="00BE542F" w:rsidRPr="001F4888" w:rsidRDefault="00BE542F" w:rsidP="003E4C24">
            <w:pPr>
              <w:spacing w:before="120"/>
            </w:pPr>
            <w:r w:rsidRPr="001F4888">
              <w:t>3</w:t>
            </w:r>
          </w:p>
        </w:tc>
        <w:tc>
          <w:tcPr>
            <w:tcW w:w="3982" w:type="dxa"/>
          </w:tcPr>
          <w:p w14:paraId="0CE91CE2" w14:textId="77777777" w:rsidR="00BE542F" w:rsidRPr="001F4888" w:rsidRDefault="00BE542F" w:rsidP="003E4C24">
            <w:pPr>
              <w:spacing w:before="120"/>
            </w:pPr>
            <w:r w:rsidRPr="001F4888">
              <w:t xml:space="preserve">Hourly WRAP Operations Holdback </w:t>
            </w:r>
          </w:p>
        </w:tc>
        <w:tc>
          <w:tcPr>
            <w:tcW w:w="3492" w:type="dxa"/>
          </w:tcPr>
          <w:p w14:paraId="6605CE6F" w14:textId="77777777" w:rsidR="00BE542F" w:rsidRPr="001F4888" w:rsidRDefault="00BE542F" w:rsidP="003E4C24">
            <w:pPr>
              <w:spacing w:before="120"/>
            </w:pPr>
          </w:p>
        </w:tc>
      </w:tr>
      <w:tr w:rsidR="00BE542F" w:rsidRPr="001F4888" w14:paraId="1860D4D8" w14:textId="77777777" w:rsidTr="003E4C24">
        <w:trPr>
          <w:gridAfter w:val="1"/>
          <w:wAfter w:w="11" w:type="dxa"/>
          <w:trHeight w:val="306"/>
        </w:trPr>
        <w:tc>
          <w:tcPr>
            <w:tcW w:w="520" w:type="dxa"/>
          </w:tcPr>
          <w:p w14:paraId="6E9BBB79" w14:textId="77777777" w:rsidR="00BE542F" w:rsidRPr="001F4888" w:rsidRDefault="00BE542F" w:rsidP="003E4C24">
            <w:pPr>
              <w:spacing w:before="120"/>
            </w:pPr>
            <w:r w:rsidRPr="001F4888">
              <w:t>4</w:t>
            </w:r>
          </w:p>
        </w:tc>
        <w:tc>
          <w:tcPr>
            <w:tcW w:w="3982" w:type="dxa"/>
          </w:tcPr>
          <w:p w14:paraId="67740D1C" w14:textId="77777777" w:rsidR="00BE542F" w:rsidRPr="001F4888" w:rsidRDefault="00BE542F" w:rsidP="003E4C24">
            <w:pPr>
              <w:spacing w:before="120"/>
            </w:pPr>
            <w:r w:rsidRPr="001F4888">
              <w:t xml:space="preserve">Hourly Net Position </w:t>
            </w:r>
          </w:p>
        </w:tc>
        <w:tc>
          <w:tcPr>
            <w:tcW w:w="3492" w:type="dxa"/>
          </w:tcPr>
          <w:p w14:paraId="6A27EA9F" w14:textId="77777777" w:rsidR="00BE542F" w:rsidRPr="001F4888" w:rsidRDefault="00BE542F" w:rsidP="003E4C24">
            <w:pPr>
              <w:spacing w:before="120"/>
            </w:pPr>
          </w:p>
        </w:tc>
      </w:tr>
      <w:tr w:rsidR="00BE542F" w:rsidRPr="001F4888" w14:paraId="7C6CBFE3" w14:textId="77777777" w:rsidTr="003E4C24">
        <w:trPr>
          <w:gridAfter w:val="1"/>
          <w:wAfter w:w="11" w:type="dxa"/>
          <w:trHeight w:val="306"/>
        </w:trPr>
        <w:tc>
          <w:tcPr>
            <w:tcW w:w="520" w:type="dxa"/>
          </w:tcPr>
          <w:p w14:paraId="55D21857" w14:textId="77777777" w:rsidR="00BE542F" w:rsidRPr="001F4888" w:rsidRDefault="00BE542F" w:rsidP="003E4C24">
            <w:pPr>
              <w:spacing w:before="120"/>
            </w:pPr>
            <w:r w:rsidRPr="001F4888">
              <w:t>5</w:t>
            </w:r>
          </w:p>
        </w:tc>
        <w:tc>
          <w:tcPr>
            <w:tcW w:w="3982" w:type="dxa"/>
          </w:tcPr>
          <w:p w14:paraId="77FCB272" w14:textId="77777777" w:rsidR="00BE542F" w:rsidRPr="001F4888" w:rsidRDefault="00BE542F" w:rsidP="003E4C24">
            <w:pPr>
              <w:spacing w:before="120"/>
            </w:pPr>
            <w:r w:rsidRPr="001F4888">
              <w:t xml:space="preserve">Hourly MSR Self Charge </w:t>
            </w:r>
          </w:p>
        </w:tc>
        <w:tc>
          <w:tcPr>
            <w:tcW w:w="3492" w:type="dxa"/>
          </w:tcPr>
          <w:p w14:paraId="3456AE62" w14:textId="77777777" w:rsidR="00BE542F" w:rsidRPr="001F4888" w:rsidRDefault="00BE542F" w:rsidP="003E4C24">
            <w:pPr>
              <w:spacing w:before="120"/>
            </w:pPr>
          </w:p>
        </w:tc>
      </w:tr>
      <w:tr w:rsidR="00BE542F" w:rsidRPr="001F4888" w14:paraId="5C8AFD1C" w14:textId="77777777" w:rsidTr="003E4C24">
        <w:trPr>
          <w:gridAfter w:val="1"/>
          <w:wAfter w:w="11" w:type="dxa"/>
          <w:trHeight w:val="306"/>
        </w:trPr>
        <w:tc>
          <w:tcPr>
            <w:tcW w:w="520" w:type="dxa"/>
          </w:tcPr>
          <w:p w14:paraId="730A62F2" w14:textId="77777777" w:rsidR="00BE542F" w:rsidRPr="001F4888" w:rsidRDefault="00BE542F" w:rsidP="003E4C24">
            <w:pPr>
              <w:spacing w:before="120"/>
            </w:pPr>
          </w:p>
        </w:tc>
        <w:tc>
          <w:tcPr>
            <w:tcW w:w="3982" w:type="dxa"/>
          </w:tcPr>
          <w:p w14:paraId="7082C4F0" w14:textId="77777777" w:rsidR="00BE542F" w:rsidRPr="001F4888" w:rsidRDefault="00BE542F" w:rsidP="003E4C24">
            <w:pPr>
              <w:spacing w:before="120"/>
            </w:pPr>
            <w:r w:rsidRPr="001F4888">
              <w:t xml:space="preserve">Minimum Required Resource capacity (SUM of </w:t>
            </w:r>
            <w:r>
              <w:t>1.4.1 A (</w:t>
            </w:r>
            <w:r w:rsidRPr="001F4888">
              <w:t>1</w:t>
            </w:r>
            <w:r>
              <w:t>-</w:t>
            </w:r>
            <w:r w:rsidRPr="001F4888">
              <w:t>5) =</w:t>
            </w:r>
          </w:p>
        </w:tc>
        <w:tc>
          <w:tcPr>
            <w:tcW w:w="3492" w:type="dxa"/>
          </w:tcPr>
          <w:p w14:paraId="63CA2219" w14:textId="77777777" w:rsidR="00BE542F" w:rsidRPr="001F4888" w:rsidRDefault="00BE542F" w:rsidP="003E4C24">
            <w:pPr>
              <w:spacing w:before="120"/>
            </w:pPr>
          </w:p>
        </w:tc>
      </w:tr>
    </w:tbl>
    <w:p w14:paraId="5B1D07D1" w14:textId="77777777" w:rsidR="00BE542F" w:rsidRPr="001F4888" w:rsidRDefault="00BE542F" w:rsidP="00BE542F">
      <w:pPr>
        <w:spacing w:before="120"/>
      </w:pPr>
    </w:p>
    <w:p w14:paraId="03C1C54E" w14:textId="77777777" w:rsidR="00BE542F" w:rsidRDefault="00BE542F" w:rsidP="006247A6">
      <w:pPr>
        <w:pStyle w:val="ParaText"/>
        <w:numPr>
          <w:ilvl w:val="0"/>
          <w:numId w:val="4"/>
        </w:numPr>
        <w:spacing w:before="120"/>
        <w:ind w:left="720" w:hanging="720"/>
      </w:pPr>
      <w:r>
        <w:t xml:space="preserve">Day Ahead Must Offer Ceiling, Binding Season: Each Market Participant is required to offer Resources no greater than the approved Forward Showing Capacity Requirement value as provided by the Market Participant, adjusted as described below.  This value informs the ceiling for the Day Ahead Must Offer and is used to determine the ceiling during the Binding Season as defined by the Resource Adequacy Program.  During the Binding Season, </w:t>
      </w:r>
      <w:proofErr w:type="gramStart"/>
      <w:r>
        <w:t>in the event that</w:t>
      </w:r>
      <w:proofErr w:type="gramEnd"/>
      <w:r>
        <w:t xml:space="preserve"> the calculation of (A) exceeds (B), the capacity amount determined under (B) will act as a ceiling on the Market Participant’s Must Offer Obligation, as (B) represents the maximum amount the Market Participant is required to offer to Markets+ during the Binding Season. The Day-Ahead Must Offer Ceiling is calculated as the sum of the following: </w:t>
      </w:r>
    </w:p>
    <w:p w14:paraId="3BBAF5C9" w14:textId="77777777" w:rsidR="00BE542F" w:rsidRPr="00C726B6" w:rsidRDefault="00BE542F" w:rsidP="006247A6">
      <w:pPr>
        <w:pStyle w:val="ParaText"/>
        <w:numPr>
          <w:ilvl w:val="0"/>
          <w:numId w:val="5"/>
        </w:numPr>
        <w:spacing w:before="120"/>
        <w:ind w:hanging="540"/>
        <w:rPr>
          <w:szCs w:val="24"/>
        </w:rPr>
      </w:pPr>
      <w:r w:rsidRPr="007A4572">
        <w:rPr>
          <w:szCs w:val="24"/>
        </w:rPr>
        <w:t xml:space="preserve">A Market Participant’s Forward Showing Capacity Requirement is the amount of capacity required for the Market Participant to demonstrate adequacy for the Resource Adequacy Program for each Month during a Binding Season.  The Monthly value serves as the maximum quantity for the relevant Operating Day, within the corresponding Operating Month. </w:t>
      </w:r>
      <w:r>
        <w:t xml:space="preserve">If a Market Participant does not meet the Forward Showing Capacity Requirement the maximum quantity for the relevant Operating Day within the corresponding Operating Month is adjusted down by the deficit capacity amount. </w:t>
      </w:r>
    </w:p>
    <w:p w14:paraId="0E73FF8E" w14:textId="77777777" w:rsidR="00BE542F" w:rsidRPr="001F4888" w:rsidRDefault="00BE542F" w:rsidP="006247A6">
      <w:pPr>
        <w:pStyle w:val="ParaText"/>
        <w:numPr>
          <w:ilvl w:val="0"/>
          <w:numId w:val="5"/>
        </w:numPr>
        <w:tabs>
          <w:tab w:val="left" w:pos="720"/>
        </w:tabs>
        <w:spacing w:before="120"/>
        <w:ind w:hanging="540"/>
      </w:pPr>
      <w:r>
        <w:lastRenderedPageBreak/>
        <w:t>WRAP Operations Program Hourly Adjustment. F</w:t>
      </w:r>
      <w:r w:rsidRPr="00F127A3">
        <w:t xml:space="preserve">or an entity </w:t>
      </w:r>
      <w:r>
        <w:t>with a negative WRAP Operations Program Hourly Sharing Result, the WRAP Operations Program Hourly Adjustment is equal to the absolute value of the negative</w:t>
      </w:r>
      <w:r w:rsidRPr="00F127A3">
        <w:t xml:space="preserve"> </w:t>
      </w:r>
      <w:r>
        <w:t>Qty (MW)</w:t>
      </w:r>
      <w:r w:rsidRPr="00F127A3">
        <w:t xml:space="preserve"> of the WRAP Operations Hourly Sharing </w:t>
      </w:r>
      <w:r>
        <w:t xml:space="preserve">Result minus the positive Qty (MW) of WRAP Operations Program Hourly Holdback.  If the source of the WRAP Operations Program Hourly Holdback </w:t>
      </w:r>
      <w:proofErr w:type="gramStart"/>
      <w:r>
        <w:t>is  external</w:t>
      </w:r>
      <w:proofErr w:type="gramEnd"/>
      <w:r>
        <w:t xml:space="preserve"> to the Markets+ footprint, the source and MW quantity must be represented by a confirmed e-tag between the parties. For an entity with a positive or zero value WRAP Operations Program Hourly Sharing Result, t</w:t>
      </w:r>
      <w:r w:rsidRPr="00D845E3">
        <w:t>he</w:t>
      </w:r>
      <w:r>
        <w:t xml:space="preserve"> value of the WRAP Operations Program Hourly Adjustment will be zero (0) MW.    </w:t>
      </w:r>
    </w:p>
    <w:p w14:paraId="131FB4C5" w14:textId="77777777" w:rsidR="00BE542F" w:rsidRDefault="00BE542F" w:rsidP="006247A6">
      <w:pPr>
        <w:pStyle w:val="ParaText"/>
        <w:numPr>
          <w:ilvl w:val="0"/>
          <w:numId w:val="5"/>
        </w:numPr>
        <w:spacing w:before="120"/>
        <w:ind w:hanging="540"/>
      </w:pPr>
      <w:r>
        <w:t xml:space="preserve">Net Position.  The Net Position is the sum of each Market Participant’s power purchase and sales Contracts and Transfers as represented by qualifying e-tags or other established process of communication. This data will be provided by the Market Participant. The Net Position includes High Priority Transactions representing interchange import transactions and export transactions to or from the Markets + Footprint.  If a Market Participant wishes to include a High Priority Transaction in its net position, that transaction must meet the requirements of a qualifying e-tag, detailed in Section [High Priority Transactions]. For clarity, any energy deployed via the WRAP holdback will not count towards the Net Position for the purpose of calculation the DA Must Offer Ceiling. High Priority Transactions that are WRAP holdback, or energy deployed under the WRAP Operations program are not considered Net Position and instead are contemplated in (2) WRAP holdback above.   </w:t>
      </w:r>
      <w:bookmarkStart w:id="82" w:name="_Hlk171078962"/>
    </w:p>
    <w:bookmarkEnd w:id="82"/>
    <w:p w14:paraId="4266964C" w14:textId="77777777" w:rsidR="00BE542F" w:rsidRDefault="00BE542F" w:rsidP="006247A6">
      <w:pPr>
        <w:pStyle w:val="ParaText"/>
        <w:numPr>
          <w:ilvl w:val="0"/>
          <w:numId w:val="5"/>
        </w:numPr>
        <w:spacing w:before="120"/>
        <w:ind w:hanging="540"/>
      </w:pPr>
      <w:r>
        <w:t>Fleet Performance. A Market Participant’s adjustment for forecasted day ahead fleet performance is, for all Resource other than VERs, the sum of any forced outages, unplanned availability, and unplanned change of capacity of Resources registered to the Market Participant for the Operating Hour as reflected in the CROW system compared  against the forced outages, unplanned availability and unplanned change in capacity as represented in the Resource Adequacy program. For VERS the Market Operator’s forecast output will be compared against the QCC Qualified Capacity Contribution of the VERs as calculated by the Resource Adequacy program and provided by the Market Participant. Any improvement in performance will increase the Market Participant’s Must-Offer Obligation and any reduction in performance will reduce the Market Participant’s Must-Offer Obligation For example, for non-VERs, if the total CROW unplanned outages for an hour is 300 MW and the WRAP unplanned outage assumption is 200 MW, then the Market Participant’s Must-Offer Obligation is reduced by 100 MW.  For VERs, if the total VER ELCC from WRAP is 400 MW and the VER forecast amount is 700 MW, then the Market Participant’s Must-Offer Obligation is increased by 300 MW.</w:t>
      </w:r>
    </w:p>
    <w:p w14:paraId="74A0CC4E" w14:textId="77777777" w:rsidR="00BE542F" w:rsidRPr="001F4888" w:rsidRDefault="00BE542F" w:rsidP="00BE542F">
      <w:pPr>
        <w:pStyle w:val="ParaText"/>
        <w:spacing w:before="120"/>
        <w:ind w:left="720"/>
        <w:rPr>
          <w:szCs w:val="24"/>
        </w:rPr>
      </w:pPr>
      <w:r w:rsidRPr="001F4888">
        <w:rPr>
          <w:szCs w:val="24"/>
        </w:rPr>
        <w:lastRenderedPageBreak/>
        <w:t xml:space="preserve">During the </w:t>
      </w:r>
      <w:r>
        <w:rPr>
          <w:szCs w:val="24"/>
        </w:rPr>
        <w:t>n</w:t>
      </w:r>
      <w:r w:rsidRPr="001F4888">
        <w:rPr>
          <w:szCs w:val="24"/>
        </w:rPr>
        <w:t>on-</w:t>
      </w:r>
      <w:r>
        <w:rPr>
          <w:szCs w:val="24"/>
        </w:rPr>
        <w:t>B</w:t>
      </w:r>
      <w:r w:rsidRPr="001F4888">
        <w:rPr>
          <w:szCs w:val="24"/>
        </w:rPr>
        <w:t xml:space="preserve">inding </w:t>
      </w:r>
      <w:r>
        <w:rPr>
          <w:szCs w:val="24"/>
        </w:rPr>
        <w:t>S</w:t>
      </w:r>
      <w:r w:rsidRPr="001F4888">
        <w:rPr>
          <w:szCs w:val="24"/>
        </w:rPr>
        <w:t xml:space="preserve">eason, </w:t>
      </w:r>
      <w:r>
        <w:rPr>
          <w:szCs w:val="24"/>
        </w:rPr>
        <w:t>Section 1.4.1(A) provides</w:t>
      </w:r>
      <w:r w:rsidRPr="001F4888">
        <w:rPr>
          <w:szCs w:val="24"/>
        </w:rPr>
        <w:t xml:space="preserve"> the minimum required to satisfy the Day Ahead Must Offer </w:t>
      </w:r>
      <w:r>
        <w:rPr>
          <w:szCs w:val="24"/>
        </w:rPr>
        <w:t xml:space="preserve">obligation </w:t>
      </w:r>
      <w:r w:rsidRPr="001F4888">
        <w:rPr>
          <w:szCs w:val="24"/>
        </w:rPr>
        <w:t xml:space="preserve">and does not have a Day Ahead Must Offer Ceiling as the </w:t>
      </w:r>
      <w:r>
        <w:rPr>
          <w:szCs w:val="24"/>
        </w:rPr>
        <w:t>n</w:t>
      </w:r>
      <w:r w:rsidRPr="001F4888">
        <w:rPr>
          <w:szCs w:val="24"/>
        </w:rPr>
        <w:t>on-</w:t>
      </w:r>
      <w:r>
        <w:rPr>
          <w:szCs w:val="24"/>
        </w:rPr>
        <w:t>B</w:t>
      </w:r>
      <w:r w:rsidRPr="001F4888">
        <w:rPr>
          <w:szCs w:val="24"/>
        </w:rPr>
        <w:t xml:space="preserve">inding </w:t>
      </w:r>
      <w:r>
        <w:rPr>
          <w:szCs w:val="24"/>
        </w:rPr>
        <w:t>S</w:t>
      </w:r>
      <w:r w:rsidRPr="001F4888">
        <w:rPr>
          <w:szCs w:val="24"/>
        </w:rPr>
        <w:t>eason does not have data from the Resource Adequacy Program.</w:t>
      </w:r>
    </w:p>
    <w:p w14:paraId="57CABF5A" w14:textId="77777777" w:rsidR="00BE542F" w:rsidRPr="00264814" w:rsidRDefault="00BE542F" w:rsidP="00264814">
      <w:pPr>
        <w:rPr>
          <w:color w:val="153D63" w:themeColor="text2" w:themeTint="E6"/>
          <w:sz w:val="28"/>
          <w:szCs w:val="28"/>
        </w:rPr>
      </w:pPr>
      <w:r w:rsidRPr="00264814">
        <w:rPr>
          <w:color w:val="153D63" w:themeColor="text2" w:themeTint="E6"/>
          <w:sz w:val="28"/>
          <w:szCs w:val="28"/>
        </w:rPr>
        <w:t xml:space="preserve">1.4.2 Must Offer Compliance </w:t>
      </w:r>
    </w:p>
    <w:p w14:paraId="181BB2A5" w14:textId="77777777" w:rsidR="00BE542F" w:rsidRPr="001F4888" w:rsidRDefault="00BE542F" w:rsidP="006247A6">
      <w:pPr>
        <w:pStyle w:val="ParaText"/>
        <w:numPr>
          <w:ilvl w:val="0"/>
          <w:numId w:val="6"/>
        </w:numPr>
        <w:spacing w:before="120"/>
        <w:ind w:left="720" w:hanging="720"/>
        <w:rPr>
          <w:szCs w:val="24"/>
        </w:rPr>
      </w:pPr>
      <w:r w:rsidRPr="001F4888">
        <w:rPr>
          <w:szCs w:val="24"/>
        </w:rPr>
        <w:t>During the Binding Season: Market Participants are required to offer Resources into the Day</w:t>
      </w:r>
      <w:r>
        <w:rPr>
          <w:szCs w:val="24"/>
        </w:rPr>
        <w:t>-</w:t>
      </w:r>
      <w:r w:rsidRPr="001F4888">
        <w:rPr>
          <w:szCs w:val="24"/>
        </w:rPr>
        <w:t>Ahead Market greater or equal to the lesser of either the Day</w:t>
      </w:r>
      <w:r>
        <w:rPr>
          <w:szCs w:val="24"/>
        </w:rPr>
        <w:t>-</w:t>
      </w:r>
      <w:r w:rsidRPr="001F4888">
        <w:rPr>
          <w:szCs w:val="24"/>
        </w:rPr>
        <w:t xml:space="preserve">Ahead Must Offer </w:t>
      </w:r>
      <w:r>
        <w:rPr>
          <w:szCs w:val="24"/>
        </w:rPr>
        <w:t>Obligation described under Section 1.4.1(</w:t>
      </w:r>
      <w:r w:rsidRPr="001F4888">
        <w:rPr>
          <w:szCs w:val="24"/>
        </w:rPr>
        <w:t>A</w:t>
      </w:r>
      <w:r>
        <w:rPr>
          <w:szCs w:val="24"/>
        </w:rPr>
        <w:t>)</w:t>
      </w:r>
      <w:r w:rsidRPr="001F4888">
        <w:rPr>
          <w:szCs w:val="24"/>
        </w:rPr>
        <w:t xml:space="preserve"> or the Day Ahead Must Offer Ceiling</w:t>
      </w:r>
      <w:r>
        <w:rPr>
          <w:szCs w:val="24"/>
        </w:rPr>
        <w:t xml:space="preserve"> as described under Section</w:t>
      </w:r>
      <w:r w:rsidRPr="001F4888">
        <w:rPr>
          <w:szCs w:val="24"/>
        </w:rPr>
        <w:t xml:space="preserve"> </w:t>
      </w:r>
      <w:r>
        <w:rPr>
          <w:szCs w:val="24"/>
        </w:rPr>
        <w:t>1.4.1(B)</w:t>
      </w:r>
      <w:r w:rsidRPr="001F4888">
        <w:rPr>
          <w:szCs w:val="24"/>
        </w:rPr>
        <w:t xml:space="preserve"> for that Operating Hour. </w:t>
      </w:r>
    </w:p>
    <w:p w14:paraId="79A11A56" w14:textId="77777777" w:rsidR="00BE542F" w:rsidRDefault="00BE542F" w:rsidP="006247A6">
      <w:pPr>
        <w:pStyle w:val="ParaText"/>
        <w:numPr>
          <w:ilvl w:val="0"/>
          <w:numId w:val="7"/>
        </w:numPr>
        <w:spacing w:before="120"/>
        <w:ind w:left="1260" w:hanging="540"/>
        <w:rPr>
          <w:szCs w:val="24"/>
        </w:rPr>
      </w:pPr>
      <w:r>
        <w:rPr>
          <w:szCs w:val="24"/>
        </w:rPr>
        <w:t>T</w:t>
      </w:r>
      <w:r w:rsidRPr="001F4888">
        <w:rPr>
          <w:szCs w:val="24"/>
        </w:rPr>
        <w:t xml:space="preserve">he shortfall will be calculated as </w:t>
      </w:r>
      <w:r>
        <w:rPr>
          <w:szCs w:val="24"/>
        </w:rPr>
        <w:t xml:space="preserve">positive value of </w:t>
      </w:r>
      <w:r w:rsidRPr="001F4888">
        <w:rPr>
          <w:szCs w:val="24"/>
        </w:rPr>
        <w:t xml:space="preserve">the difference between the </w:t>
      </w:r>
      <w:proofErr w:type="gramStart"/>
      <w:r>
        <w:rPr>
          <w:szCs w:val="24"/>
        </w:rPr>
        <w:t>lesser</w:t>
      </w:r>
      <w:proofErr w:type="gramEnd"/>
      <w:r>
        <w:rPr>
          <w:szCs w:val="24"/>
        </w:rPr>
        <w:t xml:space="preserve"> of the </w:t>
      </w:r>
      <w:r w:rsidRPr="001F4888">
        <w:rPr>
          <w:szCs w:val="24"/>
        </w:rPr>
        <w:t xml:space="preserve">Resource capacity required for each Hour detailed in </w:t>
      </w:r>
      <w:r>
        <w:rPr>
          <w:szCs w:val="24"/>
        </w:rPr>
        <w:t>1.4.1(</w:t>
      </w:r>
      <w:r w:rsidRPr="001F4888">
        <w:rPr>
          <w:szCs w:val="24"/>
        </w:rPr>
        <w:t>A</w:t>
      </w:r>
      <w:r>
        <w:rPr>
          <w:szCs w:val="24"/>
        </w:rPr>
        <w:t>)</w:t>
      </w:r>
      <w:r w:rsidRPr="001F4888">
        <w:rPr>
          <w:szCs w:val="24"/>
        </w:rPr>
        <w:t xml:space="preserve"> or </w:t>
      </w:r>
      <w:r>
        <w:rPr>
          <w:szCs w:val="24"/>
        </w:rPr>
        <w:t>1.4.1(</w:t>
      </w:r>
      <w:r w:rsidRPr="001F4888">
        <w:rPr>
          <w:szCs w:val="24"/>
        </w:rPr>
        <w:t>B</w:t>
      </w:r>
      <w:r>
        <w:rPr>
          <w:szCs w:val="24"/>
        </w:rPr>
        <w:t xml:space="preserve">), and </w:t>
      </w:r>
      <w:r w:rsidRPr="001F4888">
        <w:rPr>
          <w:szCs w:val="24"/>
        </w:rPr>
        <w:t>the total offered Resource capacity for each Operating Hour</w:t>
      </w:r>
      <w:r>
        <w:rPr>
          <w:szCs w:val="24"/>
        </w:rPr>
        <w:t>.</w:t>
      </w:r>
      <w:r w:rsidRPr="001F4888">
        <w:rPr>
          <w:szCs w:val="24"/>
        </w:rPr>
        <w:t xml:space="preserve"> Any shortfall by a Market Participant will be </w:t>
      </w:r>
      <w:proofErr w:type="gramStart"/>
      <w:r w:rsidRPr="001F4888">
        <w:rPr>
          <w:szCs w:val="24"/>
        </w:rPr>
        <w:t>assessed</w:t>
      </w:r>
      <w:proofErr w:type="gramEnd"/>
      <w:r w:rsidRPr="001F4888">
        <w:rPr>
          <w:szCs w:val="24"/>
        </w:rPr>
        <w:t xml:space="preserve"> a penalty charge calculated as the MW shortfall times the penalty </w:t>
      </w:r>
      <w:r>
        <w:rPr>
          <w:szCs w:val="24"/>
        </w:rPr>
        <w:t>rate</w:t>
      </w:r>
      <w:r w:rsidRPr="001F4888">
        <w:rPr>
          <w:szCs w:val="24"/>
        </w:rPr>
        <w:t xml:space="preserve"> as further detailed in Section 4.5.7.1</w:t>
      </w:r>
      <w:r>
        <w:rPr>
          <w:szCs w:val="24"/>
        </w:rPr>
        <w:t>7.</w:t>
      </w:r>
    </w:p>
    <w:p w14:paraId="347C5080" w14:textId="77777777" w:rsidR="00BE542F" w:rsidRPr="001F4888" w:rsidRDefault="00BE542F" w:rsidP="006247A6">
      <w:pPr>
        <w:pStyle w:val="ParaText"/>
        <w:numPr>
          <w:ilvl w:val="0"/>
          <w:numId w:val="6"/>
        </w:numPr>
        <w:spacing w:before="120"/>
        <w:ind w:left="720" w:hanging="720"/>
        <w:rPr>
          <w:szCs w:val="24"/>
        </w:rPr>
      </w:pPr>
      <w:r w:rsidRPr="001F4888">
        <w:rPr>
          <w:szCs w:val="24"/>
        </w:rPr>
        <w:t>During the Non-Binding Season</w:t>
      </w:r>
      <w:proofErr w:type="gramStart"/>
      <w:r w:rsidRPr="001F4888">
        <w:rPr>
          <w:szCs w:val="24"/>
        </w:rPr>
        <w:t>:  Market</w:t>
      </w:r>
      <w:proofErr w:type="gramEnd"/>
      <w:r w:rsidRPr="001F4888">
        <w:rPr>
          <w:szCs w:val="24"/>
        </w:rPr>
        <w:t xml:space="preserve"> Participants are required to offer </w:t>
      </w:r>
      <w:r>
        <w:rPr>
          <w:szCs w:val="24"/>
        </w:rPr>
        <w:t>R</w:t>
      </w:r>
      <w:r w:rsidRPr="001F4888">
        <w:rPr>
          <w:szCs w:val="24"/>
        </w:rPr>
        <w:t>esources into the Day</w:t>
      </w:r>
      <w:r>
        <w:rPr>
          <w:szCs w:val="24"/>
        </w:rPr>
        <w:t>-</w:t>
      </w:r>
      <w:r w:rsidRPr="001F4888">
        <w:rPr>
          <w:szCs w:val="24"/>
        </w:rPr>
        <w:t>Ahead Market greater than or equal to the Day</w:t>
      </w:r>
      <w:r>
        <w:rPr>
          <w:szCs w:val="24"/>
        </w:rPr>
        <w:t>-</w:t>
      </w:r>
      <w:r w:rsidRPr="001F4888">
        <w:rPr>
          <w:szCs w:val="24"/>
        </w:rPr>
        <w:t xml:space="preserve">Ahead Must Offer </w:t>
      </w:r>
      <w:r>
        <w:rPr>
          <w:szCs w:val="24"/>
        </w:rPr>
        <w:t xml:space="preserve">Obligation described under Section </w:t>
      </w:r>
      <w:r w:rsidRPr="001F4888">
        <w:rPr>
          <w:szCs w:val="24"/>
        </w:rPr>
        <w:t xml:space="preserve">of </w:t>
      </w:r>
      <w:r>
        <w:rPr>
          <w:szCs w:val="24"/>
        </w:rPr>
        <w:t>1.4.1(</w:t>
      </w:r>
      <w:r w:rsidRPr="001F4888">
        <w:rPr>
          <w:szCs w:val="24"/>
        </w:rPr>
        <w:t>A</w:t>
      </w:r>
      <w:r>
        <w:rPr>
          <w:szCs w:val="24"/>
        </w:rPr>
        <w:t>).</w:t>
      </w:r>
    </w:p>
    <w:p w14:paraId="202910B3" w14:textId="77777777" w:rsidR="00BE542F" w:rsidRPr="001F4888" w:rsidRDefault="00BE542F" w:rsidP="006247A6">
      <w:pPr>
        <w:pStyle w:val="ParaText"/>
        <w:numPr>
          <w:ilvl w:val="0"/>
          <w:numId w:val="8"/>
        </w:numPr>
        <w:spacing w:before="120"/>
        <w:ind w:left="1260" w:hanging="540"/>
        <w:rPr>
          <w:szCs w:val="24"/>
        </w:rPr>
      </w:pPr>
      <w:bookmarkStart w:id="83" w:name="_Hlk170461624"/>
      <w:r>
        <w:rPr>
          <w:szCs w:val="24"/>
        </w:rPr>
        <w:t>T</w:t>
      </w:r>
      <w:r w:rsidRPr="001F4888">
        <w:rPr>
          <w:szCs w:val="24"/>
        </w:rPr>
        <w:t xml:space="preserve">he shortfall will be calculated as </w:t>
      </w:r>
      <w:r>
        <w:rPr>
          <w:szCs w:val="24"/>
        </w:rPr>
        <w:t xml:space="preserve">positive value of </w:t>
      </w:r>
      <w:r w:rsidRPr="001F4888">
        <w:rPr>
          <w:szCs w:val="24"/>
        </w:rPr>
        <w:t xml:space="preserve">the difference between </w:t>
      </w:r>
      <w:r>
        <w:rPr>
          <w:szCs w:val="24"/>
        </w:rPr>
        <w:t xml:space="preserve">the </w:t>
      </w:r>
      <w:r w:rsidRPr="001F4888">
        <w:rPr>
          <w:szCs w:val="24"/>
        </w:rPr>
        <w:t xml:space="preserve">Resource capacity required for each Hour detailed in </w:t>
      </w:r>
      <w:r>
        <w:rPr>
          <w:szCs w:val="24"/>
        </w:rPr>
        <w:t>1.4.1(</w:t>
      </w:r>
      <w:r w:rsidRPr="001F4888">
        <w:rPr>
          <w:szCs w:val="24"/>
        </w:rPr>
        <w:t>A</w:t>
      </w:r>
      <w:r>
        <w:rPr>
          <w:szCs w:val="24"/>
        </w:rPr>
        <w:t xml:space="preserve">), and </w:t>
      </w:r>
      <w:r w:rsidRPr="001F4888">
        <w:rPr>
          <w:szCs w:val="24"/>
        </w:rPr>
        <w:t>the total offered Resource capacity for each Operating Hour</w:t>
      </w:r>
      <w:r>
        <w:rPr>
          <w:szCs w:val="24"/>
        </w:rPr>
        <w:t>.</w:t>
      </w:r>
      <w:r w:rsidRPr="001F4888">
        <w:rPr>
          <w:szCs w:val="24"/>
        </w:rPr>
        <w:t xml:space="preserve"> Any shortfall by a Market Participant will be </w:t>
      </w:r>
      <w:proofErr w:type="gramStart"/>
      <w:r w:rsidRPr="001F4888">
        <w:rPr>
          <w:szCs w:val="24"/>
        </w:rPr>
        <w:t>assessed</w:t>
      </w:r>
      <w:proofErr w:type="gramEnd"/>
      <w:r w:rsidRPr="001F4888">
        <w:rPr>
          <w:szCs w:val="24"/>
        </w:rPr>
        <w:t xml:space="preserve"> a penalty charge calculated as the MW shortfall times the penalty </w:t>
      </w:r>
      <w:r>
        <w:rPr>
          <w:szCs w:val="24"/>
        </w:rPr>
        <w:t>rate</w:t>
      </w:r>
      <w:r w:rsidRPr="001F4888">
        <w:rPr>
          <w:szCs w:val="24"/>
        </w:rPr>
        <w:t xml:space="preserve"> as further detailed in Section 4.5.7.1</w:t>
      </w:r>
      <w:r>
        <w:rPr>
          <w:szCs w:val="24"/>
        </w:rPr>
        <w:t>7.</w:t>
      </w:r>
    </w:p>
    <w:bookmarkEnd w:id="83"/>
    <w:p w14:paraId="62726077" w14:textId="77777777" w:rsidR="00BE542F" w:rsidRPr="00264814" w:rsidRDefault="00BE542F" w:rsidP="00264814">
      <w:pPr>
        <w:rPr>
          <w:color w:val="153D63" w:themeColor="text2" w:themeTint="E6"/>
          <w:sz w:val="28"/>
          <w:szCs w:val="28"/>
        </w:rPr>
      </w:pPr>
      <w:r w:rsidRPr="00264814">
        <w:rPr>
          <w:color w:val="153D63" w:themeColor="text2" w:themeTint="E6"/>
          <w:sz w:val="28"/>
          <w:szCs w:val="28"/>
        </w:rPr>
        <w:t xml:space="preserve">1.5 RTBM </w:t>
      </w:r>
    </w:p>
    <w:p w14:paraId="58EBB355" w14:textId="77777777" w:rsidR="00BE542F" w:rsidRPr="00264814" w:rsidRDefault="00BE542F" w:rsidP="00264814">
      <w:pPr>
        <w:rPr>
          <w:color w:val="153D63" w:themeColor="text2" w:themeTint="E6"/>
          <w:sz w:val="28"/>
          <w:szCs w:val="28"/>
        </w:rPr>
      </w:pPr>
      <w:r w:rsidRPr="00264814">
        <w:rPr>
          <w:color w:val="153D63" w:themeColor="text2" w:themeTint="E6"/>
          <w:sz w:val="28"/>
          <w:szCs w:val="28"/>
        </w:rPr>
        <w:t>1.5.1 Must Offer Obligation</w:t>
      </w:r>
    </w:p>
    <w:p w14:paraId="654BB89D" w14:textId="77777777" w:rsidR="00BE542F" w:rsidRDefault="00BE542F" w:rsidP="00BE542F">
      <w:pPr>
        <w:pStyle w:val="ParaText"/>
        <w:spacing w:before="120"/>
      </w:pPr>
      <w:r w:rsidRPr="001F4888">
        <w:rPr>
          <w:szCs w:val="24"/>
        </w:rPr>
        <w:t xml:space="preserve">For the Real Time Balancing Market, Market Participants must offer the same minimum amount of Resource capacity </w:t>
      </w:r>
      <w:r>
        <w:rPr>
          <w:szCs w:val="24"/>
        </w:rPr>
        <w:t>awarded</w:t>
      </w:r>
      <w:r w:rsidRPr="001F4888">
        <w:rPr>
          <w:szCs w:val="24"/>
        </w:rPr>
        <w:t xml:space="preserve"> for the Day</w:t>
      </w:r>
      <w:r>
        <w:rPr>
          <w:szCs w:val="24"/>
        </w:rPr>
        <w:t>-</w:t>
      </w:r>
      <w:r w:rsidRPr="001F4888">
        <w:rPr>
          <w:szCs w:val="24"/>
        </w:rPr>
        <w:t xml:space="preserve">Ahead Market and for the first RUC process to allow the market to solve from a baseline point to evaluate all subsequent </w:t>
      </w:r>
      <w:r>
        <w:rPr>
          <w:szCs w:val="24"/>
        </w:rPr>
        <w:t>Dispatch</w:t>
      </w:r>
      <w:r w:rsidRPr="001F4888">
        <w:rPr>
          <w:szCs w:val="24"/>
        </w:rPr>
        <w:t xml:space="preserve"> </w:t>
      </w:r>
      <w:r>
        <w:rPr>
          <w:szCs w:val="24"/>
        </w:rPr>
        <w:t>I</w:t>
      </w:r>
      <w:r w:rsidRPr="001F4888">
        <w:rPr>
          <w:szCs w:val="24"/>
        </w:rPr>
        <w:t xml:space="preserve">ntervals within </w:t>
      </w:r>
      <w:r>
        <w:rPr>
          <w:szCs w:val="24"/>
        </w:rPr>
        <w:t>Operating H</w:t>
      </w:r>
      <w:r w:rsidRPr="001F4888">
        <w:rPr>
          <w:szCs w:val="24"/>
        </w:rPr>
        <w:t>ours for that Operating Day</w:t>
      </w:r>
      <w:r>
        <w:rPr>
          <w:szCs w:val="24"/>
        </w:rPr>
        <w:t xml:space="preserve">.  The </w:t>
      </w:r>
      <w:r>
        <w:t xml:space="preserve">Must-Offer Obligation can be met by self-schedule energy only, a combination of self-schedule energy and economic offer range, or economic offer range only, by offering Resources with a </w:t>
      </w:r>
      <w:r w:rsidRPr="001F4888">
        <w:rPr>
          <w:szCs w:val="24"/>
        </w:rPr>
        <w:t>Commitment Status of Market, Self</w:t>
      </w:r>
      <w:r>
        <w:rPr>
          <w:szCs w:val="24"/>
        </w:rPr>
        <w:t>,</w:t>
      </w:r>
      <w:r w:rsidRPr="001F4888">
        <w:rPr>
          <w:szCs w:val="24"/>
        </w:rPr>
        <w:t xml:space="preserve"> or Reliability Must Run</w:t>
      </w:r>
      <w:r>
        <w:t xml:space="preserve">.  </w:t>
      </w:r>
    </w:p>
    <w:p w14:paraId="24F65F17" w14:textId="77777777" w:rsidR="00BE542F" w:rsidRDefault="00BE542F" w:rsidP="00BE542F">
      <w:pPr>
        <w:pStyle w:val="ParaText"/>
        <w:spacing w:before="120"/>
        <w:rPr>
          <w:szCs w:val="24"/>
        </w:rPr>
      </w:pPr>
      <w:r w:rsidRPr="001F4888">
        <w:rPr>
          <w:szCs w:val="24"/>
        </w:rPr>
        <w:t xml:space="preserve">After satisfying the </w:t>
      </w:r>
      <w:r>
        <w:rPr>
          <w:szCs w:val="24"/>
        </w:rPr>
        <w:t xml:space="preserve">RTBM </w:t>
      </w:r>
      <w:r>
        <w:t>Must-Offer Obligation</w:t>
      </w:r>
      <w:r w:rsidRPr="001F4888">
        <w:rPr>
          <w:szCs w:val="24"/>
        </w:rPr>
        <w:t>, a Market Participant may offer any remaining Energy or capacity to the market at its discretion</w:t>
      </w:r>
      <w:r>
        <w:rPr>
          <w:szCs w:val="24"/>
        </w:rPr>
        <w:t xml:space="preserve"> for purposes of its Must Offer Obligation</w:t>
      </w:r>
      <w:r w:rsidRPr="001F4888">
        <w:rPr>
          <w:szCs w:val="24"/>
        </w:rPr>
        <w:t>. </w:t>
      </w:r>
      <w:r>
        <w:rPr>
          <w:szCs w:val="24"/>
        </w:rPr>
        <w:t xml:space="preserve"> A </w:t>
      </w:r>
      <w:r>
        <w:rPr>
          <w:szCs w:val="24"/>
        </w:rPr>
        <w:lastRenderedPageBreak/>
        <w:t xml:space="preserve">Market Participant’s </w:t>
      </w:r>
      <w:r>
        <w:t xml:space="preserve">Must-Offer Obligation </w:t>
      </w:r>
      <w:r>
        <w:rPr>
          <w:szCs w:val="24"/>
        </w:rPr>
        <w:t xml:space="preserve">is the lesser of the amount described in 1.5.1(A) or the amount described </w:t>
      </w:r>
      <w:proofErr w:type="gramStart"/>
      <w:r>
        <w:rPr>
          <w:szCs w:val="24"/>
        </w:rPr>
        <w:t>in  1.5.1</w:t>
      </w:r>
      <w:proofErr w:type="gramEnd"/>
      <w:r>
        <w:rPr>
          <w:szCs w:val="24"/>
        </w:rPr>
        <w:t xml:space="preserve">(B).  </w:t>
      </w:r>
    </w:p>
    <w:p w14:paraId="1AAAB918" w14:textId="77777777" w:rsidR="00BE542F" w:rsidRPr="001F4888" w:rsidRDefault="00BE542F" w:rsidP="006247A6">
      <w:pPr>
        <w:pStyle w:val="ParaText"/>
        <w:numPr>
          <w:ilvl w:val="0"/>
          <w:numId w:val="9"/>
        </w:numPr>
        <w:spacing w:before="120"/>
        <w:ind w:left="720" w:hanging="720"/>
        <w:rPr>
          <w:szCs w:val="24"/>
        </w:rPr>
      </w:pPr>
      <w:r w:rsidRPr="007E320B">
        <w:rPr>
          <w:b/>
          <w:bCs/>
          <w:szCs w:val="24"/>
        </w:rPr>
        <w:t>RTBM Must Offer Obligation:</w:t>
      </w:r>
      <w:r w:rsidRPr="001F4888">
        <w:rPr>
          <w:szCs w:val="24"/>
        </w:rPr>
        <w:t xml:space="preserve"> The hourly obligation for each participant is met by offering sufficient resources, as follows.  </w:t>
      </w:r>
    </w:p>
    <w:p w14:paraId="228B88FD" w14:textId="77777777" w:rsidR="00BE542F" w:rsidRPr="001F4888" w:rsidRDefault="00BE542F" w:rsidP="006247A6">
      <w:pPr>
        <w:pStyle w:val="ParaText"/>
        <w:numPr>
          <w:ilvl w:val="1"/>
          <w:numId w:val="2"/>
        </w:numPr>
        <w:spacing w:before="120"/>
      </w:pPr>
      <w:r w:rsidRPr="6BB2933D">
        <w:rPr>
          <w:b/>
          <w:bCs/>
        </w:rPr>
        <w:t xml:space="preserve">Cleared Day-Ahead Market Resource </w:t>
      </w:r>
      <w:r>
        <w:rPr>
          <w:b/>
          <w:bCs/>
        </w:rPr>
        <w:t>A</w:t>
      </w:r>
      <w:r w:rsidRPr="6BB2933D">
        <w:rPr>
          <w:b/>
          <w:bCs/>
        </w:rPr>
        <w:t>wards</w:t>
      </w:r>
      <w:r>
        <w:t xml:space="preserve">.  Hourly Resource awards will be posted for Resources that cleared in the Day-Ahead </w:t>
      </w:r>
      <w:proofErr w:type="gramStart"/>
      <w:r>
        <w:t>Market.; these</w:t>
      </w:r>
      <w:proofErr w:type="gramEnd"/>
      <w:r>
        <w:t xml:space="preserve"> results will be posted for consumption by the Market Operator to the Market Participants following the timeline in Section 4.3.1.  The MW sum of these hourly Energy awards serve as the basis for Real-Time Must Offer Obligation compliance.  </w:t>
      </w:r>
    </w:p>
    <w:p w14:paraId="5E131F62" w14:textId="77777777" w:rsidR="00BE542F" w:rsidRPr="001F4888" w:rsidRDefault="00BE542F" w:rsidP="006247A6">
      <w:pPr>
        <w:pStyle w:val="ParaText"/>
        <w:numPr>
          <w:ilvl w:val="1"/>
          <w:numId w:val="2"/>
        </w:numPr>
        <w:spacing w:before="120"/>
      </w:pPr>
      <w:r w:rsidRPr="02C555D7">
        <w:rPr>
          <w:b/>
          <w:bCs/>
        </w:rPr>
        <w:t xml:space="preserve">Day-Ahead Flexibility Reserve Product </w:t>
      </w:r>
      <w:r>
        <w:rPr>
          <w:b/>
          <w:bCs/>
        </w:rPr>
        <w:t>A</w:t>
      </w:r>
      <w:r w:rsidRPr="02C555D7">
        <w:rPr>
          <w:b/>
          <w:bCs/>
        </w:rPr>
        <w:t xml:space="preserve">ward </w:t>
      </w:r>
      <w:r>
        <w:rPr>
          <w:b/>
          <w:bCs/>
        </w:rPr>
        <w:t>O</w:t>
      </w:r>
      <w:r w:rsidRPr="02C555D7">
        <w:rPr>
          <w:b/>
          <w:bCs/>
        </w:rPr>
        <w:t>bligations.</w:t>
      </w:r>
      <w:r>
        <w:t xml:space="preserve"> The Day-Ahead Market will produce hourly Flexibility Reserve Product awards, both Short-Term Flex Up and Mid-Term Flex Up, and will be posted by the Market Operator to the Market Participants.  These hourly Flexibility Reserve awards serve as the basis for Real-Time Must Offer Obligation compliance. </w:t>
      </w:r>
      <w:r w:rsidRPr="02C555D7">
        <w:rPr>
          <w:rStyle w:val="cf01"/>
          <w:szCs w:val="24"/>
        </w:rPr>
        <w:t xml:space="preserve">For Must Offer Obligation purposes, Asset Owners’ Flexibility Reserve Product obligations will be </w:t>
      </w:r>
      <w:proofErr w:type="gramStart"/>
      <w:r w:rsidRPr="02C555D7">
        <w:rPr>
          <w:rStyle w:val="cf01"/>
          <w:szCs w:val="24"/>
        </w:rPr>
        <w:t>summed</w:t>
      </w:r>
      <w:proofErr w:type="gramEnd"/>
      <w:r w:rsidRPr="02C555D7">
        <w:rPr>
          <w:rStyle w:val="cf01"/>
          <w:szCs w:val="24"/>
        </w:rPr>
        <w:t xml:space="preserve"> and assessed at the Market Participant level. Flexibility Reserve Products will be calculated on a Markets+ Footprint basis and Reserve Zone basis. </w:t>
      </w:r>
      <w:r>
        <w:t xml:space="preserve"> </w:t>
      </w:r>
    </w:p>
    <w:p w14:paraId="1EA7EBC3" w14:textId="77777777" w:rsidR="00BE542F" w:rsidRPr="001F4888" w:rsidRDefault="00BE542F" w:rsidP="006247A6">
      <w:pPr>
        <w:pStyle w:val="ParaText"/>
        <w:numPr>
          <w:ilvl w:val="1"/>
          <w:numId w:val="2"/>
        </w:numPr>
        <w:spacing w:before="120"/>
        <w:rPr>
          <w:szCs w:val="24"/>
        </w:rPr>
      </w:pPr>
      <w:r w:rsidRPr="00E85E2D">
        <w:rPr>
          <w:b/>
          <w:bCs/>
          <w:szCs w:val="24"/>
        </w:rPr>
        <w:t xml:space="preserve">Reliability Unit Commitment </w:t>
      </w:r>
      <w:r>
        <w:rPr>
          <w:b/>
          <w:bCs/>
          <w:szCs w:val="24"/>
        </w:rPr>
        <w:t>A</w:t>
      </w:r>
      <w:r w:rsidRPr="00E85E2D">
        <w:rPr>
          <w:b/>
          <w:bCs/>
          <w:szCs w:val="24"/>
        </w:rPr>
        <w:t>wards</w:t>
      </w:r>
      <w:r w:rsidRPr="001F4888">
        <w:rPr>
          <w:szCs w:val="24"/>
        </w:rPr>
        <w:t>. Any incremental</w:t>
      </w:r>
      <w:r>
        <w:rPr>
          <w:szCs w:val="24"/>
        </w:rPr>
        <w:t xml:space="preserve"> MW quantity associated with </w:t>
      </w:r>
      <w:r w:rsidRPr="001F4888">
        <w:rPr>
          <w:szCs w:val="24"/>
        </w:rPr>
        <w:t>Energy or</w:t>
      </w:r>
      <w:r>
        <w:rPr>
          <w:szCs w:val="24"/>
        </w:rPr>
        <w:t xml:space="preserve"> </w:t>
      </w:r>
      <w:r w:rsidRPr="001F4888">
        <w:rPr>
          <w:szCs w:val="24"/>
        </w:rPr>
        <w:t>Flexibility Reserve Product commitments</w:t>
      </w:r>
      <w:r>
        <w:rPr>
          <w:szCs w:val="24"/>
        </w:rPr>
        <w:t xml:space="preserve"> </w:t>
      </w:r>
      <w:r w:rsidRPr="001F4888">
        <w:rPr>
          <w:szCs w:val="24"/>
        </w:rPr>
        <w:t>resulting from the first RUC process after the Day</w:t>
      </w:r>
      <w:r>
        <w:rPr>
          <w:szCs w:val="24"/>
        </w:rPr>
        <w:t>-</w:t>
      </w:r>
      <w:r w:rsidRPr="001F4888">
        <w:rPr>
          <w:szCs w:val="24"/>
        </w:rPr>
        <w:t xml:space="preserve">Ahead Market closes will serve as the basis for the real-time </w:t>
      </w:r>
      <w:r>
        <w:t xml:space="preserve">Must-Offer Obligation </w:t>
      </w:r>
      <w:r w:rsidRPr="001F4888">
        <w:rPr>
          <w:szCs w:val="24"/>
        </w:rPr>
        <w:t xml:space="preserve">compliance. </w:t>
      </w:r>
    </w:p>
    <w:p w14:paraId="2B0C66AA" w14:textId="77777777" w:rsidR="00BE542F" w:rsidRPr="001F4888" w:rsidRDefault="00BE542F" w:rsidP="006247A6">
      <w:pPr>
        <w:pStyle w:val="ParaText"/>
        <w:numPr>
          <w:ilvl w:val="1"/>
          <w:numId w:val="2"/>
        </w:numPr>
        <w:spacing w:before="120"/>
      </w:pPr>
      <w:r w:rsidRPr="6BB2933D">
        <w:rPr>
          <w:b/>
          <w:bCs/>
        </w:rPr>
        <w:t>WRAP Operations Program Hourly Holdback Change</w:t>
      </w:r>
      <w:r>
        <w:rPr>
          <w:b/>
          <w:bCs/>
        </w:rPr>
        <w:t>.</w:t>
      </w:r>
      <w:r>
        <w:t xml:space="preserve"> For WRAP holdback transactions with a source or a sink external to the Markets+ footprint, the holdback change is equal to the quantity (MW) of deployed holdback energy not already accounted for in the Day-Ahead Market. For the RTBM, deployed holdback energy must be tagged and delivered in accordance with the requirements of the WRAP Operations Program.  </w:t>
      </w:r>
      <w:r w:rsidRPr="008D1482">
        <w:t>For WRAP holdback transactions that both source and sink within the Markets+ footprint this quantity is equal to Zero MW.</w:t>
      </w:r>
      <w:r>
        <w:t xml:space="preserve">  This term is only applicable during the binding season.</w:t>
      </w:r>
    </w:p>
    <w:p w14:paraId="15CB64E6" w14:textId="77777777" w:rsidR="00BE542F" w:rsidRPr="001F4888" w:rsidRDefault="00BE542F" w:rsidP="006247A6">
      <w:pPr>
        <w:pStyle w:val="ParaText"/>
        <w:numPr>
          <w:ilvl w:val="1"/>
          <w:numId w:val="2"/>
        </w:numPr>
        <w:spacing w:before="120"/>
      </w:pPr>
      <w:r w:rsidRPr="02C555D7">
        <w:rPr>
          <w:b/>
          <w:bCs/>
        </w:rPr>
        <w:t>Net Position Change.</w:t>
      </w:r>
      <w:r>
        <w:t xml:space="preserve">  The Net Position change is the sum of each Market Participant’s purchases and sales Contracts and Transfers not accounted for in the Day-Ahead Market as represented by e-tags; this data will be provided by the Market Participant. The Net Position change includes High Priority Transactions representing interchange import transactions and export transactions to or from the Markets + Footprint not accounted for in the Day-Ahead Market.  If a Market Participant wishes to include a High Priority Transaction in its net position, that </w:t>
      </w:r>
      <w:r>
        <w:lastRenderedPageBreak/>
        <w:t xml:space="preserve">transaction must meet the requirements of a qualifying e-tag, detailed in Section [High Priority Transactions]. For clarity, any energy deployed via the WRAP holdback will not count towards the Net Position Change for the purpose of calculating the RTBM Must Offer Obligation.  </w:t>
      </w:r>
    </w:p>
    <w:p w14:paraId="36EA7690" w14:textId="77777777" w:rsidR="00BE542F" w:rsidRPr="001F4888" w:rsidRDefault="00BE542F" w:rsidP="006247A6">
      <w:pPr>
        <w:pStyle w:val="ParaText"/>
        <w:numPr>
          <w:ilvl w:val="1"/>
          <w:numId w:val="2"/>
        </w:numPr>
        <w:spacing w:before="120"/>
      </w:pPr>
      <w:r w:rsidRPr="00E85E2D">
        <w:rPr>
          <w:b/>
          <w:bCs/>
        </w:rPr>
        <w:t xml:space="preserve">MSRs </w:t>
      </w:r>
      <w:r>
        <w:rPr>
          <w:b/>
          <w:bCs/>
        </w:rPr>
        <w:t>S</w:t>
      </w:r>
      <w:r w:rsidRPr="00E85E2D">
        <w:rPr>
          <w:b/>
          <w:bCs/>
        </w:rPr>
        <w:t>elf-</w:t>
      </w:r>
      <w:r>
        <w:rPr>
          <w:b/>
          <w:bCs/>
        </w:rPr>
        <w:t>C</w:t>
      </w:r>
      <w:r w:rsidRPr="00E85E2D">
        <w:rPr>
          <w:b/>
          <w:bCs/>
        </w:rPr>
        <w:t xml:space="preserve">harge </w:t>
      </w:r>
      <w:r>
        <w:rPr>
          <w:b/>
          <w:bCs/>
        </w:rPr>
        <w:t>S</w:t>
      </w:r>
      <w:r w:rsidRPr="00E85E2D">
        <w:rPr>
          <w:b/>
          <w:bCs/>
        </w:rPr>
        <w:t xml:space="preserve">chedule </w:t>
      </w:r>
      <w:r>
        <w:rPr>
          <w:b/>
          <w:bCs/>
        </w:rPr>
        <w:t>C</w:t>
      </w:r>
      <w:r w:rsidRPr="00E85E2D">
        <w:rPr>
          <w:b/>
          <w:bCs/>
        </w:rPr>
        <w:t>hange</w:t>
      </w:r>
      <w:r>
        <w:rPr>
          <w:b/>
          <w:bCs/>
        </w:rPr>
        <w:t xml:space="preserve">. </w:t>
      </w:r>
      <w:r>
        <w:t xml:space="preserve"> The Real-Time MSR self-schedule must be represented hourly in the Resource Offer. The MSR self-charge change is the difference between the Real-Time MSR self-charge amount and the Day-Ahead Market self-charge amount.</w:t>
      </w:r>
    </w:p>
    <w:p w14:paraId="5BD35631" w14:textId="77777777" w:rsidR="00BE542F" w:rsidRPr="001F4888" w:rsidRDefault="00BE542F" w:rsidP="00BE542F">
      <w:pPr>
        <w:pStyle w:val="ParaText"/>
        <w:spacing w:before="120"/>
        <w:ind w:left="720"/>
      </w:pPr>
      <w:r>
        <w:t xml:space="preserve">Hourly </w:t>
      </w:r>
      <w:proofErr w:type="gramStart"/>
      <w:r>
        <w:t>Real Time</w:t>
      </w:r>
      <w:proofErr w:type="gramEnd"/>
      <w:r>
        <w:t xml:space="preserve"> </w:t>
      </w:r>
      <w:proofErr w:type="gramStart"/>
      <w:r>
        <w:t>balancing</w:t>
      </w:r>
      <w:proofErr w:type="gramEnd"/>
      <w:r>
        <w:t xml:space="preserve"> Market Must Offer Obligations. For Each Operating Hour in the Real Time Balancing Market, the amount of Resource capacity that a Market Participant must offer to Markets+ consists of the sum of 1 through 6 below:  </w:t>
      </w:r>
    </w:p>
    <w:tbl>
      <w:tblPr>
        <w:tblStyle w:val="TableGrid"/>
        <w:tblW w:w="0" w:type="auto"/>
        <w:tblInd w:w="1530" w:type="dxa"/>
        <w:tblLook w:val="04A0" w:firstRow="1" w:lastRow="0" w:firstColumn="1" w:lastColumn="0" w:noHBand="0" w:noVBand="1"/>
      </w:tblPr>
      <w:tblGrid>
        <w:gridCol w:w="3900"/>
        <w:gridCol w:w="3533"/>
      </w:tblGrid>
      <w:tr w:rsidR="00BE542F" w14:paraId="06E32B89" w14:textId="77777777" w:rsidTr="003E4C24">
        <w:trPr>
          <w:trHeight w:val="300"/>
        </w:trPr>
        <w:tc>
          <w:tcPr>
            <w:tcW w:w="3900" w:type="dxa"/>
          </w:tcPr>
          <w:p w14:paraId="559E7482" w14:textId="77777777" w:rsidR="00BE542F" w:rsidRDefault="00BE542F" w:rsidP="003E4C24">
            <w:pPr>
              <w:spacing w:before="120"/>
            </w:pPr>
            <w:r>
              <w:t>Real-Time Balancing Market Must Offer Components</w:t>
            </w:r>
          </w:p>
        </w:tc>
        <w:tc>
          <w:tcPr>
            <w:tcW w:w="3533" w:type="dxa"/>
          </w:tcPr>
          <w:p w14:paraId="3AE88FD8" w14:textId="77777777" w:rsidR="00BE542F" w:rsidRDefault="00BE542F" w:rsidP="003E4C24">
            <w:pPr>
              <w:spacing w:before="120"/>
            </w:pPr>
            <w:r>
              <w:t>Hourly MW Amount</w:t>
            </w:r>
          </w:p>
        </w:tc>
      </w:tr>
      <w:tr w:rsidR="00BE542F" w14:paraId="6274BCC0" w14:textId="77777777" w:rsidTr="003E4C24">
        <w:trPr>
          <w:trHeight w:val="300"/>
        </w:trPr>
        <w:tc>
          <w:tcPr>
            <w:tcW w:w="3900" w:type="dxa"/>
          </w:tcPr>
          <w:p w14:paraId="5409E6FB" w14:textId="77777777" w:rsidR="00BE542F" w:rsidRDefault="00BE542F" w:rsidP="003E4C24">
            <w:pPr>
              <w:spacing w:before="120"/>
            </w:pPr>
            <w:r>
              <w:t xml:space="preserve">(1) Hourly </w:t>
            </w:r>
            <w:r w:rsidRPr="001F4888">
              <w:t>Cleared Day-Ahead Market Energy schedules.</w:t>
            </w:r>
          </w:p>
        </w:tc>
        <w:tc>
          <w:tcPr>
            <w:tcW w:w="3533" w:type="dxa"/>
          </w:tcPr>
          <w:p w14:paraId="1AEF1E93" w14:textId="77777777" w:rsidR="00BE542F" w:rsidRDefault="00BE542F" w:rsidP="003E4C24">
            <w:pPr>
              <w:spacing w:before="120"/>
            </w:pPr>
          </w:p>
        </w:tc>
      </w:tr>
      <w:tr w:rsidR="00BE542F" w14:paraId="507BB36C" w14:textId="77777777" w:rsidTr="003E4C24">
        <w:trPr>
          <w:trHeight w:val="300"/>
        </w:trPr>
        <w:tc>
          <w:tcPr>
            <w:tcW w:w="3900" w:type="dxa"/>
          </w:tcPr>
          <w:p w14:paraId="3379F94D" w14:textId="77777777" w:rsidR="00BE542F" w:rsidRDefault="00BE542F" w:rsidP="003E4C24">
            <w:pPr>
              <w:spacing w:before="120"/>
            </w:pPr>
            <w:r>
              <w:t xml:space="preserve">(2) Hourly </w:t>
            </w:r>
            <w:r w:rsidRPr="001F4888">
              <w:t>Day-Ahead Flexibility Reserve Product award</w:t>
            </w:r>
            <w:r>
              <w:t xml:space="preserve"> obligations</w:t>
            </w:r>
          </w:p>
        </w:tc>
        <w:tc>
          <w:tcPr>
            <w:tcW w:w="3533" w:type="dxa"/>
          </w:tcPr>
          <w:p w14:paraId="695DD9DC" w14:textId="77777777" w:rsidR="00BE542F" w:rsidRDefault="00BE542F" w:rsidP="003E4C24">
            <w:pPr>
              <w:spacing w:before="120"/>
            </w:pPr>
          </w:p>
        </w:tc>
      </w:tr>
      <w:tr w:rsidR="00BE542F" w14:paraId="46F9C7AD" w14:textId="77777777" w:rsidTr="003E4C24">
        <w:trPr>
          <w:trHeight w:val="300"/>
        </w:trPr>
        <w:tc>
          <w:tcPr>
            <w:tcW w:w="3900" w:type="dxa"/>
          </w:tcPr>
          <w:p w14:paraId="349F22A8" w14:textId="77777777" w:rsidR="00BE542F" w:rsidRDefault="00BE542F" w:rsidP="003E4C24">
            <w:pPr>
              <w:spacing w:before="120"/>
            </w:pPr>
            <w:r>
              <w:t xml:space="preserve">(3) Hourly </w:t>
            </w:r>
            <w:r w:rsidRPr="001F4888">
              <w:t>Reliability Unit Commitment awards</w:t>
            </w:r>
          </w:p>
        </w:tc>
        <w:tc>
          <w:tcPr>
            <w:tcW w:w="3533" w:type="dxa"/>
          </w:tcPr>
          <w:p w14:paraId="58015A80" w14:textId="77777777" w:rsidR="00BE542F" w:rsidRDefault="00BE542F" w:rsidP="003E4C24">
            <w:pPr>
              <w:spacing w:before="120"/>
            </w:pPr>
          </w:p>
        </w:tc>
      </w:tr>
      <w:tr w:rsidR="00BE542F" w14:paraId="47669B77" w14:textId="77777777" w:rsidTr="003E4C24">
        <w:trPr>
          <w:trHeight w:val="300"/>
        </w:trPr>
        <w:tc>
          <w:tcPr>
            <w:tcW w:w="3900" w:type="dxa"/>
          </w:tcPr>
          <w:p w14:paraId="776E1641" w14:textId="77777777" w:rsidR="00BE542F" w:rsidRDefault="00BE542F" w:rsidP="003E4C24">
            <w:pPr>
              <w:spacing w:before="120"/>
            </w:pPr>
            <w:r>
              <w:t>(4) Hourly WRAP Operations Program Hourly Holdback number</w:t>
            </w:r>
          </w:p>
        </w:tc>
        <w:tc>
          <w:tcPr>
            <w:tcW w:w="3533" w:type="dxa"/>
          </w:tcPr>
          <w:p w14:paraId="5558B6B8" w14:textId="77777777" w:rsidR="00BE542F" w:rsidRDefault="00BE542F" w:rsidP="003E4C24">
            <w:pPr>
              <w:spacing w:before="120"/>
            </w:pPr>
          </w:p>
        </w:tc>
      </w:tr>
      <w:tr w:rsidR="00BE542F" w14:paraId="3C89D670" w14:textId="77777777" w:rsidTr="003E4C24">
        <w:trPr>
          <w:trHeight w:val="300"/>
        </w:trPr>
        <w:tc>
          <w:tcPr>
            <w:tcW w:w="3900" w:type="dxa"/>
          </w:tcPr>
          <w:p w14:paraId="46671047" w14:textId="77777777" w:rsidR="00BE542F" w:rsidRDefault="00BE542F" w:rsidP="003E4C24">
            <w:pPr>
              <w:spacing w:before="120"/>
            </w:pPr>
            <w:r>
              <w:t xml:space="preserve">(5) Hourly </w:t>
            </w:r>
            <w:r w:rsidRPr="001F4888">
              <w:t>Net Position</w:t>
            </w:r>
            <w:r>
              <w:t xml:space="preserve"> Change</w:t>
            </w:r>
          </w:p>
        </w:tc>
        <w:tc>
          <w:tcPr>
            <w:tcW w:w="3533" w:type="dxa"/>
          </w:tcPr>
          <w:p w14:paraId="7AE84AC8" w14:textId="77777777" w:rsidR="00BE542F" w:rsidRDefault="00BE542F" w:rsidP="003E4C24">
            <w:pPr>
              <w:spacing w:before="120"/>
            </w:pPr>
          </w:p>
        </w:tc>
      </w:tr>
      <w:tr w:rsidR="00BE542F" w14:paraId="2897E5F0" w14:textId="77777777" w:rsidTr="003E4C24">
        <w:trPr>
          <w:trHeight w:val="300"/>
        </w:trPr>
        <w:tc>
          <w:tcPr>
            <w:tcW w:w="3900" w:type="dxa"/>
          </w:tcPr>
          <w:p w14:paraId="0EF4633A" w14:textId="77777777" w:rsidR="00BE542F" w:rsidRDefault="00BE542F" w:rsidP="003E4C24">
            <w:pPr>
              <w:spacing w:before="120"/>
            </w:pPr>
            <w:r>
              <w:t>(6) Hourly MSRs self-charge schedule must be represented hourly in Resource Offer</w:t>
            </w:r>
          </w:p>
        </w:tc>
        <w:tc>
          <w:tcPr>
            <w:tcW w:w="3533" w:type="dxa"/>
          </w:tcPr>
          <w:p w14:paraId="508F680F" w14:textId="77777777" w:rsidR="00BE542F" w:rsidRDefault="00BE542F" w:rsidP="003E4C24">
            <w:pPr>
              <w:spacing w:before="120"/>
            </w:pPr>
          </w:p>
        </w:tc>
      </w:tr>
      <w:tr w:rsidR="00BE542F" w14:paraId="3D9FDE9E" w14:textId="77777777" w:rsidTr="003E4C24">
        <w:trPr>
          <w:trHeight w:val="300"/>
        </w:trPr>
        <w:tc>
          <w:tcPr>
            <w:tcW w:w="3900" w:type="dxa"/>
          </w:tcPr>
          <w:p w14:paraId="665CDD89" w14:textId="77777777" w:rsidR="00BE542F" w:rsidRDefault="00BE542F" w:rsidP="003E4C24">
            <w:pPr>
              <w:spacing w:before="120"/>
            </w:pPr>
            <w:r>
              <w:t>Minimum Required Resource capacity (SUM of 1.5.1 A (1 – 6) =</w:t>
            </w:r>
          </w:p>
        </w:tc>
        <w:tc>
          <w:tcPr>
            <w:tcW w:w="3533" w:type="dxa"/>
          </w:tcPr>
          <w:p w14:paraId="13ABB733" w14:textId="77777777" w:rsidR="00BE542F" w:rsidRDefault="00BE542F" w:rsidP="003E4C24">
            <w:pPr>
              <w:spacing w:before="120"/>
            </w:pPr>
          </w:p>
        </w:tc>
      </w:tr>
    </w:tbl>
    <w:p w14:paraId="392C2AFE" w14:textId="77777777" w:rsidR="00BE542F" w:rsidRDefault="00BE542F" w:rsidP="00BE542F">
      <w:pPr>
        <w:pStyle w:val="ParaText"/>
        <w:spacing w:before="120"/>
        <w:rPr>
          <w:szCs w:val="24"/>
        </w:rPr>
      </w:pPr>
    </w:p>
    <w:p w14:paraId="6E7A12B6" w14:textId="77777777" w:rsidR="00BE542F" w:rsidRPr="00AA5FFD" w:rsidRDefault="00BE542F" w:rsidP="006247A6">
      <w:pPr>
        <w:pStyle w:val="ParaText"/>
        <w:numPr>
          <w:ilvl w:val="0"/>
          <w:numId w:val="9"/>
        </w:numPr>
        <w:spacing w:before="120"/>
        <w:ind w:left="720" w:hanging="720"/>
      </w:pPr>
      <w:bookmarkStart w:id="84" w:name="_Hlk170461102"/>
      <w:r>
        <w:t>RTBM Must Offer Ceiling</w:t>
      </w:r>
      <w:bookmarkEnd w:id="84"/>
      <w:r>
        <w:t xml:space="preserve">: A Market Participant's must offer ceiling during the binding season is higher </w:t>
      </w:r>
      <w:proofErr w:type="gramStart"/>
      <w:r>
        <w:t>of</w:t>
      </w:r>
      <w:proofErr w:type="gramEnd"/>
      <w:r>
        <w:t xml:space="preserve"> the Day-Ahead compliance amount described in Section 1.4.1(B), as adjusted by (1)-(3) below, or the sum of 1.5.1(A</w:t>
      </w:r>
      <w:proofErr w:type="gramStart"/>
      <w:r>
        <w:t>)(</w:t>
      </w:r>
      <w:proofErr w:type="gramEnd"/>
      <w:r>
        <w:t xml:space="preserve">1-3), as adjusted by (1)-(3) below. During the non-binding </w:t>
      </w:r>
      <w:proofErr w:type="gramStart"/>
      <w:r>
        <w:t>season</w:t>
      </w:r>
      <w:proofErr w:type="gramEnd"/>
      <w:r>
        <w:t xml:space="preserve"> a Market Participant’s must offer ceiling is the sum of 1.5.1(A</w:t>
      </w:r>
      <w:proofErr w:type="gramStart"/>
      <w:r>
        <w:t>)(</w:t>
      </w:r>
      <w:proofErr w:type="gramEnd"/>
      <w:r>
        <w:t xml:space="preserve">1-3), as adjusted by (2)-(3) below.  </w:t>
      </w:r>
    </w:p>
    <w:p w14:paraId="5C2CB20C" w14:textId="77777777" w:rsidR="00BE542F" w:rsidRDefault="00BE542F" w:rsidP="00BE542F">
      <w:pPr>
        <w:pStyle w:val="ParaText"/>
        <w:spacing w:before="120"/>
        <w:ind w:left="720" w:hanging="540"/>
        <w:rPr>
          <w:szCs w:val="24"/>
        </w:rPr>
      </w:pPr>
      <w:r>
        <w:t>(1)</w:t>
      </w:r>
      <w:r>
        <w:tab/>
      </w:r>
      <w:r w:rsidRPr="00A070AD">
        <w:rPr>
          <w:b/>
          <w:bCs/>
        </w:rPr>
        <w:t>WRAP Operations Program Hourly Holdback Change</w:t>
      </w:r>
      <w:r>
        <w:t xml:space="preserve">. For WRAP holdback transactions with   source or a sink external to the Markets+ footprint, the holdback quantity </w:t>
      </w:r>
      <w:r>
        <w:lastRenderedPageBreak/>
        <w:t xml:space="preserve">is equal to the quantity (MW) of deployed energy not already accounted for in the Day-Ahead Market. </w:t>
      </w:r>
      <w:r w:rsidRPr="008D1482">
        <w:t>For WRAP holdback transactions that both source and sink within the Markets+ footprint this quantity is equal to Zero MW.</w:t>
      </w:r>
      <w:r>
        <w:t xml:space="preserve">  This adjustment always applies to 1.5.1(A</w:t>
      </w:r>
      <w:proofErr w:type="gramStart"/>
      <w:r>
        <w:t>)(</w:t>
      </w:r>
      <w:proofErr w:type="gramEnd"/>
      <w:r>
        <w:t xml:space="preserve">1-3) and only to 1.4.1(B) when the source is external to the Markets+ footprint and the sink is internal to the Markets+ footprint. </w:t>
      </w:r>
    </w:p>
    <w:p w14:paraId="39B75FC9" w14:textId="77777777" w:rsidR="00BE542F" w:rsidRDefault="00BE542F" w:rsidP="00BE542F">
      <w:pPr>
        <w:pStyle w:val="ParaText"/>
        <w:tabs>
          <w:tab w:val="left" w:pos="1800"/>
        </w:tabs>
        <w:spacing w:before="120"/>
        <w:ind w:left="720" w:hanging="540"/>
        <w:rPr>
          <w:szCs w:val="24"/>
        </w:rPr>
      </w:pPr>
      <w:r>
        <w:rPr>
          <w:szCs w:val="24"/>
        </w:rPr>
        <w:t>(2)</w:t>
      </w:r>
      <w:r>
        <w:rPr>
          <w:szCs w:val="24"/>
        </w:rPr>
        <w:tab/>
      </w:r>
      <w:r w:rsidRPr="00A070AD">
        <w:rPr>
          <w:b/>
          <w:bCs/>
          <w:szCs w:val="24"/>
        </w:rPr>
        <w:t>Net Position Change</w:t>
      </w:r>
      <w:r w:rsidRPr="00A65CBC">
        <w:rPr>
          <w:szCs w:val="24"/>
        </w:rPr>
        <w:t xml:space="preserve">.  The Net Position change is the sum of each Market Participant’s purchases and sales Contracts and Transfers not accounted for in the Day-Ahead Market as represented by e-tags; this data will be provided by the Market Participant. The Net Position change includes High Priority Transactions representing interchange import transactions and export transactions to or from the Markets + Footprint not accounted for in the Day-Ahead Market.  If a Market Participant wishes to include a High Priority Transaction in its net position, that transaction must meet the requirements of a qualifying e-tag, detailed in Section [High Priority Transactions]. </w:t>
      </w:r>
      <w:r>
        <w:rPr>
          <w:szCs w:val="24"/>
        </w:rPr>
        <w:t xml:space="preserve">For clarity, any energy deployed via the WRAP holdback will not count towards the Net Position Change for the purpose of calculating the RTBM Must Offer Ceiling.  </w:t>
      </w:r>
      <w:r>
        <w:t>This adjustment applies to both 1.4.1(B) and 1.5.1 (A</w:t>
      </w:r>
      <w:proofErr w:type="gramStart"/>
      <w:r>
        <w:t>)(</w:t>
      </w:r>
      <w:proofErr w:type="gramEnd"/>
      <w:r>
        <w:t>1-3).</w:t>
      </w:r>
      <w:r w:rsidRPr="00A65CBC" w:rsidDel="00524E2F">
        <w:rPr>
          <w:szCs w:val="24"/>
        </w:rPr>
        <w:t xml:space="preserve"> </w:t>
      </w:r>
    </w:p>
    <w:p w14:paraId="4AE26B4D" w14:textId="77777777" w:rsidR="00BE542F" w:rsidRPr="001F4888" w:rsidRDefault="00BE542F" w:rsidP="00BE542F">
      <w:pPr>
        <w:pStyle w:val="ParaText"/>
        <w:spacing w:before="120"/>
        <w:ind w:left="720" w:hanging="540"/>
      </w:pPr>
      <w:r>
        <w:t>(3)</w:t>
      </w:r>
      <w:r>
        <w:tab/>
      </w:r>
      <w:r w:rsidRPr="00A070AD">
        <w:rPr>
          <w:b/>
          <w:bCs/>
        </w:rPr>
        <w:t>Fleet Performance</w:t>
      </w:r>
      <w:r>
        <w:t>.  A Market Participant’s Real-Time Fleet Adjustment is the difference in Real-Time fleet performance from forecasted Day-Ahead Fleet Performance.  A Market Participant’s adjustment for RTBM fleet performance is, for all Resource other than VERs, the sum of any forced outages, unplanned availability, and unplanned change of capacity of Resources registered to the Market Participant for the upcoming RTBM Operating Hour as reflected in the CROW system compared against the sum of any forced outages, unplanned availability, and unplanned change of capacity of Resources registered to the Market Participant for the corresponding Day-Ahead Market  Operating Hour as reflected in the CROW system and in each MP’s Day-Ahead Market Offer. For VERS the Market Operator’s forecast VER output for the RTBM will be compared against the Market Operator’s VER forecast output for the Day-Ahead Market. Any improvement in performance as compared to the value calculated for the Day-Ahead Market will increase the Market Participant’s Must-Offer Obligation and any reduction in performance as compared to the value calculated for the Day-Ahead Market will reduce the Market Participant’s Must-Offer Obligation.   This adjustment applies to both 1.4.1(B) and 1.5.1 (A</w:t>
      </w:r>
      <w:proofErr w:type="gramStart"/>
      <w:r>
        <w:t>)(</w:t>
      </w:r>
      <w:proofErr w:type="gramEnd"/>
      <w:r>
        <w:t>1-3).</w:t>
      </w:r>
      <w:r w:rsidRPr="00A65CBC" w:rsidDel="00524E2F">
        <w:rPr>
          <w:szCs w:val="24"/>
        </w:rPr>
        <w:t xml:space="preserve"> </w:t>
      </w:r>
      <w:r>
        <w:t xml:space="preserve">For example, for non-VERs if the Day-Ahead Market CROW unplanned outages </w:t>
      </w:r>
      <w:proofErr w:type="gramStart"/>
      <w:r>
        <w:t>is</w:t>
      </w:r>
      <w:proofErr w:type="gramEnd"/>
      <w:r>
        <w:t xml:space="preserve"> 300 MW for an hour and the RTBM CROW unplanned outages for an hour </w:t>
      </w:r>
      <w:proofErr w:type="gramStart"/>
      <w:r>
        <w:t>is</w:t>
      </w:r>
      <w:proofErr w:type="gramEnd"/>
      <w:r>
        <w:t xml:space="preserve"> 200 MW, then the Market Participant’s RTBM</w:t>
      </w:r>
      <w:r w:rsidRPr="009516B5">
        <w:t xml:space="preserve"> </w:t>
      </w:r>
      <w:r>
        <w:t xml:space="preserve">Must-Offer Obligation is reduced by 100 MW.  For VERs, if the Day-Ahead Market VER forecast amount for an hour is 700 MW and the RTBM VER forecast amount for an hour is 750 MW, then the Market Participant’s RTBM Must-Offer Obligation is increased by 50 MW.  </w:t>
      </w:r>
    </w:p>
    <w:p w14:paraId="6B3B352C" w14:textId="77777777" w:rsidR="00BE542F" w:rsidRPr="00264814" w:rsidRDefault="00BE542F" w:rsidP="00264814">
      <w:pPr>
        <w:rPr>
          <w:color w:val="153D63" w:themeColor="text2" w:themeTint="E6"/>
          <w:sz w:val="28"/>
          <w:szCs w:val="28"/>
        </w:rPr>
      </w:pPr>
      <w:r w:rsidRPr="00264814">
        <w:rPr>
          <w:color w:val="153D63" w:themeColor="text2" w:themeTint="E6"/>
          <w:sz w:val="28"/>
          <w:szCs w:val="28"/>
        </w:rPr>
        <w:lastRenderedPageBreak/>
        <w:t>1.5.2 Must Offer Compliance</w:t>
      </w:r>
    </w:p>
    <w:p w14:paraId="5973CEC5" w14:textId="77777777" w:rsidR="00BE542F" w:rsidRPr="001F4888" w:rsidRDefault="00BE542F" w:rsidP="00BE542F">
      <w:pPr>
        <w:pStyle w:val="ParaText"/>
        <w:spacing w:before="120"/>
        <w:ind w:left="1260" w:hanging="540"/>
        <w:rPr>
          <w:szCs w:val="24"/>
        </w:rPr>
      </w:pPr>
      <w:r>
        <w:rPr>
          <w:szCs w:val="24"/>
        </w:rPr>
        <w:t>(1)</w:t>
      </w:r>
      <w:r>
        <w:rPr>
          <w:szCs w:val="24"/>
        </w:rPr>
        <w:tab/>
      </w:r>
      <w:r w:rsidRPr="001F4888">
        <w:rPr>
          <w:szCs w:val="24"/>
        </w:rPr>
        <w:t xml:space="preserve">In real time, Market Participants are required to offer </w:t>
      </w:r>
      <w:r>
        <w:rPr>
          <w:szCs w:val="24"/>
        </w:rPr>
        <w:t>R</w:t>
      </w:r>
      <w:r w:rsidRPr="001F4888">
        <w:rPr>
          <w:szCs w:val="24"/>
        </w:rPr>
        <w:t>esources greater or equal to the</w:t>
      </w:r>
      <w:r>
        <w:rPr>
          <w:szCs w:val="24"/>
        </w:rPr>
        <w:t xml:space="preserve"> lesser of the </w:t>
      </w:r>
      <w:r w:rsidRPr="001F4888">
        <w:rPr>
          <w:szCs w:val="24"/>
        </w:rPr>
        <w:t>RTBM Must Offer Ceiling</w:t>
      </w:r>
      <w:r>
        <w:rPr>
          <w:szCs w:val="24"/>
        </w:rPr>
        <w:t xml:space="preserve"> described under Section 1.5.1(B) or the RTBM must offer requirement defined under Section 1.5.1(A).  </w:t>
      </w:r>
      <w:r w:rsidRPr="001F4888">
        <w:rPr>
          <w:szCs w:val="24"/>
        </w:rPr>
        <w:t xml:space="preserve"> </w:t>
      </w:r>
    </w:p>
    <w:p w14:paraId="4053EB97" w14:textId="6C8AC8C2" w:rsidR="00004349" w:rsidRDefault="00BE542F" w:rsidP="00BE542F">
      <w:pPr>
        <w:spacing w:line="300" w:lineRule="auto"/>
        <w:ind w:left="1260" w:hanging="540"/>
      </w:pPr>
      <w:r>
        <w:t>(2)</w:t>
      </w:r>
      <w:r>
        <w:tab/>
      </w:r>
      <w:r w:rsidRPr="00E62424">
        <w:t xml:space="preserve">The shortfall will be calculated as positive value of the difference between the Resource capacity required for each Hour, and the total offered Resource capacity for each Operating Hour. Any shortfall by a Market Participant will be </w:t>
      </w:r>
      <w:proofErr w:type="gramStart"/>
      <w:r w:rsidRPr="00E62424">
        <w:t>assessed</w:t>
      </w:r>
      <w:proofErr w:type="gramEnd"/>
      <w:r w:rsidRPr="00E62424">
        <w:t xml:space="preserve"> a penalty charge calculated as the MW shortfall times the penalty rate as further detailed in Section 4.5.8.25.</w:t>
      </w:r>
      <w:bookmarkEnd w:id="30"/>
      <w:bookmarkEnd w:id="79"/>
    </w:p>
    <w:p w14:paraId="1FC891B6" w14:textId="6074BF53" w:rsidR="00A941DF" w:rsidRDefault="00A941DF">
      <w:r>
        <w:br w:type="page"/>
      </w:r>
    </w:p>
    <w:p w14:paraId="0EC63955" w14:textId="0498540E" w:rsidR="00AA52FB" w:rsidRPr="00543F21" w:rsidRDefault="00AA52FB" w:rsidP="00AA52FB">
      <w:pPr>
        <w:pStyle w:val="Heading1"/>
      </w:pPr>
      <w:bookmarkStart w:id="85" w:name="_Ref191030019"/>
      <w:bookmarkStart w:id="86" w:name="_Toc202176541"/>
      <w:bookmarkStart w:id="87" w:name="_Toc202176720"/>
      <w:bookmarkStart w:id="88" w:name="OLE_LINK205"/>
      <w:bookmarkStart w:id="89" w:name="TOC3PostCRFCompilation"/>
      <w:r>
        <w:lastRenderedPageBreak/>
        <w:t xml:space="preserve">Appendix B – PRC Minutes </w:t>
      </w:r>
      <w:r w:rsidR="00E51DD3">
        <w:t>Dec</w:t>
      </w:r>
      <w:r>
        <w:t>.</w:t>
      </w:r>
      <w:r w:rsidRPr="00543F21">
        <w:t xml:space="preserve"> </w:t>
      </w:r>
      <w:r w:rsidR="00E51DD3">
        <w:t>18</w:t>
      </w:r>
      <w:r w:rsidR="00E51DD3">
        <w:rPr>
          <w:vertAlign w:val="superscript"/>
        </w:rPr>
        <w:t>th</w:t>
      </w:r>
      <w:r w:rsidRPr="00543F21">
        <w:t>, 202</w:t>
      </w:r>
      <w:r w:rsidR="00E51DD3">
        <w:t>4</w:t>
      </w:r>
      <w:r w:rsidRPr="00543F21">
        <w:t>; 9</w:t>
      </w:r>
      <w:r>
        <w:t>-</w:t>
      </w:r>
      <w:r w:rsidRPr="00543F21">
        <w:t>1</w:t>
      </w:r>
      <w:r w:rsidR="00E51DD3">
        <w:t>0a</w:t>
      </w:r>
      <w:r w:rsidRPr="00543F21">
        <w:t xml:space="preserve">m </w:t>
      </w:r>
      <w:r w:rsidR="00E51DD3">
        <w:t>PT</w:t>
      </w:r>
      <w:bookmarkEnd w:id="85"/>
      <w:bookmarkEnd w:id="86"/>
      <w:bookmarkEnd w:id="87"/>
    </w:p>
    <w:tbl>
      <w:tblPr>
        <w:tblW w:w="99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80"/>
        <w:gridCol w:w="4335"/>
      </w:tblGrid>
      <w:tr w:rsidR="0088006B" w:rsidRPr="00C44CE2" w14:paraId="465EC6CF" w14:textId="77777777">
        <w:trPr>
          <w:trHeight w:val="300"/>
        </w:trPr>
        <w:tc>
          <w:tcPr>
            <w:tcW w:w="55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8204AB7" w14:textId="77777777" w:rsidR="0088006B" w:rsidRPr="00C44CE2" w:rsidRDefault="0088006B">
            <w:pPr>
              <w:spacing w:after="0" w:line="200" w:lineRule="exact"/>
              <w:textAlignment w:val="baseline"/>
              <w:rPr>
                <w:rFonts w:ascii="Times New Roman" w:eastAsia="Times New Roman" w:hAnsi="Times New Roman" w:cs="Times New Roman"/>
                <w:sz w:val="20"/>
                <w:szCs w:val="20"/>
              </w:rPr>
            </w:pPr>
            <w:r w:rsidRPr="00C44CE2">
              <w:rPr>
                <w:rFonts w:ascii="Nirmala UI Semilight" w:eastAsia="Times New Roman" w:hAnsi="Nirmala UI Semilight" w:cs="Nirmala UI Semilight"/>
                <w:b/>
                <w:bCs/>
                <w:color w:val="000000" w:themeColor="text1"/>
                <w:sz w:val="20"/>
                <w:szCs w:val="20"/>
              </w:rPr>
              <w:t>Sector</w:t>
            </w:r>
            <w:r w:rsidRPr="00C44CE2">
              <w:rPr>
                <w:rFonts w:ascii="Arial" w:eastAsia="Times New Roman" w:hAnsi="Arial" w:cs="Arial"/>
                <w:color w:val="000000" w:themeColor="text1"/>
                <w:sz w:val="20"/>
                <w:szCs w:val="20"/>
              </w:rPr>
              <w:t>     </w:t>
            </w:r>
            <w:r w:rsidRPr="00C44CE2">
              <w:rPr>
                <w:rFonts w:ascii="Nirmala UI Semilight" w:eastAsia="Times New Roman" w:hAnsi="Nirmala UI Semilight" w:cs="Nirmala UI Semilight"/>
                <w:color w:val="000000" w:themeColor="text1"/>
                <w:sz w:val="20"/>
                <w:szCs w:val="20"/>
              </w:rPr>
              <w:t> </w:t>
            </w:r>
          </w:p>
        </w:tc>
        <w:tc>
          <w:tcPr>
            <w:tcW w:w="433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9DF4B76" w14:textId="77777777" w:rsidR="0088006B" w:rsidRPr="00C44CE2" w:rsidRDefault="0088006B">
            <w:pPr>
              <w:spacing w:after="0" w:line="200" w:lineRule="exact"/>
              <w:textAlignment w:val="baseline"/>
              <w:rPr>
                <w:rFonts w:ascii="Times New Roman" w:eastAsia="Times New Roman" w:hAnsi="Times New Roman" w:cs="Times New Roman"/>
                <w:sz w:val="20"/>
                <w:szCs w:val="20"/>
              </w:rPr>
            </w:pPr>
            <w:r w:rsidRPr="00C44CE2">
              <w:rPr>
                <w:rFonts w:ascii="Nirmala UI Semilight" w:eastAsia="Times New Roman" w:hAnsi="Nirmala UI Semilight" w:cs="Nirmala UI Semilight"/>
                <w:b/>
                <w:bCs/>
                <w:color w:val="000000" w:themeColor="text1"/>
                <w:sz w:val="20"/>
                <w:szCs w:val="20"/>
              </w:rPr>
              <w:t>Representatives</w:t>
            </w:r>
            <w:r w:rsidRPr="00C44CE2">
              <w:rPr>
                <w:rFonts w:ascii="Arial" w:eastAsia="Times New Roman" w:hAnsi="Arial" w:cs="Arial"/>
                <w:b/>
                <w:bCs/>
                <w:color w:val="000000" w:themeColor="text1"/>
                <w:sz w:val="20"/>
                <w:szCs w:val="20"/>
              </w:rPr>
              <w:t> </w:t>
            </w:r>
            <w:r w:rsidRPr="00C44CE2">
              <w:rPr>
                <w:rFonts w:ascii="Nirmala UI Semilight" w:eastAsia="Times New Roman" w:hAnsi="Nirmala UI Semilight" w:cs="Nirmala UI Semilight"/>
                <w:color w:val="000000" w:themeColor="text1"/>
                <w:sz w:val="20"/>
                <w:szCs w:val="20"/>
              </w:rPr>
              <w:t xml:space="preserve">(bold in </w:t>
            </w:r>
            <w:proofErr w:type="gramStart"/>
            <w:r w:rsidRPr="00C44CE2">
              <w:rPr>
                <w:rFonts w:ascii="Nirmala UI Semilight" w:eastAsia="Times New Roman" w:hAnsi="Nirmala UI Semilight" w:cs="Nirmala UI Semilight"/>
                <w:color w:val="000000" w:themeColor="text1"/>
                <w:sz w:val="20"/>
                <w:szCs w:val="20"/>
              </w:rPr>
              <w:t>attendance)</w:t>
            </w:r>
            <w:r w:rsidRPr="00C44CE2">
              <w:rPr>
                <w:rFonts w:ascii="Arial" w:eastAsia="Times New Roman" w:hAnsi="Arial" w:cs="Arial"/>
                <w:color w:val="000000" w:themeColor="text1"/>
                <w:sz w:val="20"/>
                <w:szCs w:val="20"/>
              </w:rPr>
              <w:t xml:space="preserve">   </w:t>
            </w:r>
            <w:proofErr w:type="gramEnd"/>
            <w:r w:rsidRPr="00C44CE2">
              <w:rPr>
                <w:rFonts w:ascii="Nirmala UI Semilight" w:eastAsia="Times New Roman" w:hAnsi="Nirmala UI Semilight" w:cs="Nirmala UI Semilight"/>
                <w:color w:val="000000" w:themeColor="text1"/>
                <w:sz w:val="20"/>
                <w:szCs w:val="20"/>
              </w:rPr>
              <w:t> </w:t>
            </w:r>
          </w:p>
        </w:tc>
      </w:tr>
      <w:tr w:rsidR="0088006B" w:rsidRPr="00C44CE2" w14:paraId="45679711" w14:textId="77777777">
        <w:trPr>
          <w:trHeight w:val="300"/>
        </w:trPr>
        <w:tc>
          <w:tcPr>
            <w:tcW w:w="55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CFDBDFA" w14:textId="77777777" w:rsidR="0088006B" w:rsidRPr="00C44CE2" w:rsidRDefault="0088006B">
            <w:pPr>
              <w:spacing w:after="0" w:line="200" w:lineRule="exact"/>
              <w:textAlignment w:val="baseline"/>
              <w:rPr>
                <w:rFonts w:ascii="Times New Roman" w:eastAsia="Times New Roman" w:hAnsi="Times New Roman" w:cs="Times New Roman"/>
                <w:sz w:val="20"/>
                <w:szCs w:val="20"/>
              </w:rPr>
            </w:pPr>
            <w:r w:rsidRPr="00C44CE2">
              <w:rPr>
                <w:rFonts w:ascii="Nirmala UI Semilight" w:eastAsia="Times New Roman" w:hAnsi="Nirmala UI Semilight" w:cs="Nirmala UI Semilight"/>
                <w:color w:val="000000" w:themeColor="text1"/>
                <w:sz w:val="20"/>
                <w:szCs w:val="20"/>
              </w:rPr>
              <w:t>RAPC/Participant Investor-owned Utilities (</w:t>
            </w:r>
            <w:proofErr w:type="gramStart"/>
            <w:r w:rsidRPr="00C44CE2">
              <w:rPr>
                <w:rFonts w:ascii="Nirmala UI Semilight" w:eastAsia="Times New Roman" w:hAnsi="Nirmala UI Semilight" w:cs="Nirmala UI Semilight"/>
                <w:color w:val="000000" w:themeColor="text1"/>
                <w:sz w:val="20"/>
                <w:szCs w:val="20"/>
              </w:rPr>
              <w:t>IOUs)</w:t>
            </w:r>
            <w:r w:rsidRPr="00C44CE2">
              <w:rPr>
                <w:rFonts w:ascii="Arial" w:eastAsia="Times New Roman" w:hAnsi="Arial" w:cs="Arial"/>
                <w:color w:val="000000" w:themeColor="text1"/>
                <w:sz w:val="20"/>
                <w:szCs w:val="20"/>
              </w:rPr>
              <w:t xml:space="preserve">   </w:t>
            </w:r>
            <w:proofErr w:type="gramEnd"/>
            <w:r w:rsidRPr="00C44CE2">
              <w:rPr>
                <w:rFonts w:ascii="Arial" w:eastAsia="Times New Roman" w:hAnsi="Arial" w:cs="Arial"/>
                <w:color w:val="000000" w:themeColor="text1"/>
                <w:sz w:val="20"/>
                <w:szCs w:val="20"/>
              </w:rPr>
              <w:t> </w:t>
            </w:r>
            <w:r w:rsidRPr="00C44CE2">
              <w:rPr>
                <w:rFonts w:ascii="Nirmala UI Semilight" w:eastAsia="Times New Roman" w:hAnsi="Nirmala UI Semilight" w:cs="Nirmala UI Semilight"/>
                <w:color w:val="000000" w:themeColor="text1"/>
                <w:sz w:val="20"/>
                <w:szCs w:val="20"/>
              </w:rPr>
              <w:t> </w:t>
            </w:r>
          </w:p>
        </w:tc>
        <w:tc>
          <w:tcPr>
            <w:tcW w:w="433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D6E044C" w14:textId="77777777" w:rsidR="0088006B" w:rsidRPr="00DA7609" w:rsidRDefault="0088006B" w:rsidP="0088006B">
            <w:pPr>
              <w:pStyle w:val="ListParagraph"/>
              <w:numPr>
                <w:ilvl w:val="0"/>
                <w:numId w:val="50"/>
              </w:numPr>
              <w:spacing w:after="0" w:line="200" w:lineRule="exact"/>
              <w:ind w:left="144" w:hanging="144"/>
              <w:jc w:val="left"/>
              <w:textAlignment w:val="baseline"/>
              <w:rPr>
                <w:rFonts w:ascii="Times New Roman" w:hAnsi="Times New Roman"/>
                <w:b/>
                <w:bCs/>
                <w:sz w:val="20"/>
              </w:rPr>
            </w:pPr>
            <w:r w:rsidRPr="00DA7609">
              <w:rPr>
                <w:rFonts w:ascii="Nirmala UI Semilight" w:hAnsi="Nirmala UI Semilight" w:cs="Nirmala UI Semilight"/>
                <w:b/>
                <w:bCs/>
                <w:color w:val="000000" w:themeColor="text1"/>
                <w:sz w:val="20"/>
              </w:rPr>
              <w:t>Phil Haines</w:t>
            </w:r>
            <w:r w:rsidRPr="00DA7609">
              <w:rPr>
                <w:rFonts w:ascii="Arial" w:hAnsi="Arial" w:cs="Arial"/>
                <w:b/>
                <w:bCs/>
                <w:color w:val="000000" w:themeColor="text1"/>
                <w:sz w:val="20"/>
              </w:rPr>
              <w:t> </w:t>
            </w:r>
            <w:r w:rsidRPr="00DA7609">
              <w:rPr>
                <w:rFonts w:ascii="Nirmala UI Semilight" w:hAnsi="Nirmala UI Semilight" w:cs="Nirmala UI Semilight"/>
                <w:b/>
                <w:bCs/>
                <w:color w:val="000000" w:themeColor="text1"/>
                <w:sz w:val="20"/>
              </w:rPr>
              <w:t>(Sachi Begur as alternate)</w:t>
            </w:r>
            <w:r w:rsidRPr="00DA7609">
              <w:rPr>
                <w:rFonts w:ascii="Arial" w:hAnsi="Arial" w:cs="Arial"/>
                <w:b/>
                <w:bCs/>
                <w:color w:val="000000" w:themeColor="text1"/>
                <w:sz w:val="20"/>
              </w:rPr>
              <w:t> </w:t>
            </w:r>
            <w:r w:rsidRPr="00DA7609">
              <w:rPr>
                <w:rFonts w:ascii="Nirmala UI Semilight" w:hAnsi="Nirmala UI Semilight" w:cs="Nirmala UI Semilight"/>
                <w:b/>
                <w:bCs/>
                <w:color w:val="000000" w:themeColor="text1"/>
                <w:sz w:val="20"/>
              </w:rPr>
              <w:t> </w:t>
            </w:r>
          </w:p>
          <w:p w14:paraId="30A7C7B4" w14:textId="77777777" w:rsidR="0088006B" w:rsidRPr="00DA7609" w:rsidRDefault="0088006B" w:rsidP="0088006B">
            <w:pPr>
              <w:pStyle w:val="ListParagraph"/>
              <w:numPr>
                <w:ilvl w:val="0"/>
                <w:numId w:val="50"/>
              </w:numPr>
              <w:spacing w:after="0" w:line="200" w:lineRule="exact"/>
              <w:ind w:left="144" w:hanging="144"/>
              <w:jc w:val="left"/>
              <w:textAlignment w:val="baseline"/>
              <w:rPr>
                <w:rFonts w:ascii="Times New Roman" w:hAnsi="Times New Roman"/>
                <w:b/>
                <w:bCs/>
                <w:sz w:val="20"/>
              </w:rPr>
            </w:pPr>
            <w:r w:rsidRPr="00DA7609">
              <w:rPr>
                <w:rFonts w:ascii="Nirmala UI Semilight" w:hAnsi="Nirmala UI Semilight" w:cs="Nirmala UI Semilight"/>
                <w:b/>
                <w:bCs/>
                <w:color w:val="000000" w:themeColor="text1"/>
                <w:sz w:val="20"/>
              </w:rPr>
              <w:t>Camille Christen</w:t>
            </w:r>
            <w:r w:rsidRPr="00DA7609">
              <w:rPr>
                <w:rFonts w:ascii="Arial" w:hAnsi="Arial" w:cs="Arial"/>
                <w:b/>
                <w:bCs/>
                <w:color w:val="000000" w:themeColor="text1"/>
                <w:sz w:val="20"/>
              </w:rPr>
              <w:t>    </w:t>
            </w:r>
            <w:r w:rsidRPr="00DA7609">
              <w:rPr>
                <w:rFonts w:ascii="Nirmala UI Semilight" w:hAnsi="Nirmala UI Semilight" w:cs="Nirmala UI Semilight"/>
                <w:b/>
                <w:bCs/>
                <w:color w:val="000000" w:themeColor="text1"/>
                <w:sz w:val="20"/>
              </w:rPr>
              <w:t> </w:t>
            </w:r>
          </w:p>
          <w:p w14:paraId="2FA5140A" w14:textId="77777777" w:rsidR="0088006B" w:rsidRPr="00C44CE2" w:rsidRDefault="0088006B" w:rsidP="0088006B">
            <w:pPr>
              <w:pStyle w:val="ListParagraph"/>
              <w:numPr>
                <w:ilvl w:val="0"/>
                <w:numId w:val="50"/>
              </w:numPr>
              <w:spacing w:after="0" w:line="200" w:lineRule="exact"/>
              <w:ind w:left="144" w:hanging="144"/>
              <w:jc w:val="left"/>
              <w:textAlignment w:val="baseline"/>
              <w:rPr>
                <w:rFonts w:ascii="Times New Roman" w:hAnsi="Times New Roman"/>
                <w:sz w:val="20"/>
              </w:rPr>
            </w:pPr>
            <w:r w:rsidRPr="00DA7609">
              <w:rPr>
                <w:rFonts w:ascii="Nirmala UI Semilight" w:hAnsi="Nirmala UI Semilight" w:cs="Nirmala UI Semilight"/>
                <w:b/>
                <w:bCs/>
                <w:color w:val="000000" w:themeColor="text1"/>
                <w:sz w:val="20"/>
              </w:rPr>
              <w:t>Lindsey Schlekeway</w:t>
            </w:r>
            <w:r w:rsidRPr="00C44CE2">
              <w:rPr>
                <w:rFonts w:ascii="Nirmala UI Semilight" w:hAnsi="Nirmala UI Semilight" w:cs="Nirmala UI Semilight"/>
                <w:color w:val="000000" w:themeColor="text1"/>
                <w:sz w:val="20"/>
              </w:rPr>
              <w:t xml:space="preserve"> (Rodger Manzano as proxy) </w:t>
            </w:r>
          </w:p>
          <w:p w14:paraId="6AFEA0B1" w14:textId="77777777" w:rsidR="0088006B" w:rsidRPr="00DA7609" w:rsidRDefault="0088006B" w:rsidP="0088006B">
            <w:pPr>
              <w:pStyle w:val="ListParagraph"/>
              <w:numPr>
                <w:ilvl w:val="0"/>
                <w:numId w:val="50"/>
              </w:numPr>
              <w:spacing w:after="0" w:line="200" w:lineRule="exact"/>
              <w:ind w:left="144" w:hanging="144"/>
              <w:jc w:val="left"/>
              <w:textAlignment w:val="baseline"/>
              <w:rPr>
                <w:rFonts w:ascii="Times New Roman" w:hAnsi="Times New Roman"/>
                <w:b/>
                <w:bCs/>
                <w:sz w:val="20"/>
              </w:rPr>
            </w:pPr>
            <w:r w:rsidRPr="00DA7609">
              <w:rPr>
                <w:rFonts w:ascii="Nirmala UI Semilight" w:hAnsi="Nirmala UI Semilight" w:cs="Nirmala UI Semilight"/>
                <w:b/>
                <w:bCs/>
                <w:color w:val="000000" w:themeColor="text1"/>
                <w:sz w:val="20"/>
              </w:rPr>
              <w:t>Mike Goodenough</w:t>
            </w:r>
            <w:r w:rsidRPr="00DA7609">
              <w:rPr>
                <w:rFonts w:ascii="Arial" w:hAnsi="Arial" w:cs="Arial"/>
                <w:b/>
                <w:bCs/>
                <w:color w:val="000000" w:themeColor="text1"/>
                <w:sz w:val="20"/>
              </w:rPr>
              <w:t>     </w:t>
            </w:r>
            <w:r w:rsidRPr="00DA7609">
              <w:rPr>
                <w:rFonts w:ascii="Nirmala UI Semilight" w:hAnsi="Nirmala UI Semilight" w:cs="Nirmala UI Semilight"/>
                <w:b/>
                <w:bCs/>
                <w:color w:val="000000" w:themeColor="text1"/>
                <w:sz w:val="20"/>
              </w:rPr>
              <w:t> </w:t>
            </w:r>
          </w:p>
        </w:tc>
      </w:tr>
      <w:tr w:rsidR="0088006B" w:rsidRPr="00C44CE2" w14:paraId="34F3BDEF" w14:textId="77777777">
        <w:trPr>
          <w:trHeight w:val="300"/>
        </w:trPr>
        <w:tc>
          <w:tcPr>
            <w:tcW w:w="55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21B4F41" w14:textId="77777777" w:rsidR="0088006B" w:rsidRPr="00C44CE2" w:rsidRDefault="0088006B">
            <w:pPr>
              <w:spacing w:after="0" w:line="200" w:lineRule="exact"/>
              <w:textAlignment w:val="baseline"/>
              <w:rPr>
                <w:rFonts w:ascii="Times New Roman" w:eastAsia="Times New Roman" w:hAnsi="Times New Roman" w:cs="Times New Roman"/>
                <w:sz w:val="20"/>
                <w:szCs w:val="20"/>
              </w:rPr>
            </w:pPr>
            <w:r w:rsidRPr="00C44CE2">
              <w:rPr>
                <w:rFonts w:ascii="Nirmala UI Semilight" w:eastAsia="Times New Roman" w:hAnsi="Nirmala UI Semilight" w:cs="Nirmala UI Semilight"/>
                <w:color w:val="000000" w:themeColor="text1"/>
                <w:sz w:val="20"/>
                <w:szCs w:val="20"/>
              </w:rPr>
              <w:t>RAPC/Participant Publicly-owned utilities (</w:t>
            </w:r>
            <w:proofErr w:type="gramStart"/>
            <w:r w:rsidRPr="00C44CE2">
              <w:rPr>
                <w:rFonts w:ascii="Nirmala UI Semilight" w:eastAsia="Times New Roman" w:hAnsi="Nirmala UI Semilight" w:cs="Nirmala UI Semilight"/>
                <w:color w:val="000000" w:themeColor="text1"/>
                <w:sz w:val="20"/>
                <w:szCs w:val="20"/>
              </w:rPr>
              <w:t>POUs)</w:t>
            </w:r>
            <w:r w:rsidRPr="00C44CE2">
              <w:rPr>
                <w:rFonts w:ascii="Arial" w:eastAsia="Times New Roman" w:hAnsi="Arial" w:cs="Arial"/>
                <w:color w:val="000000" w:themeColor="text1"/>
                <w:sz w:val="20"/>
                <w:szCs w:val="20"/>
              </w:rPr>
              <w:t xml:space="preserve">   </w:t>
            </w:r>
            <w:proofErr w:type="gramEnd"/>
            <w:r w:rsidRPr="00C44CE2">
              <w:rPr>
                <w:rFonts w:ascii="Arial" w:eastAsia="Times New Roman" w:hAnsi="Arial" w:cs="Arial"/>
                <w:color w:val="000000" w:themeColor="text1"/>
                <w:sz w:val="20"/>
                <w:szCs w:val="20"/>
              </w:rPr>
              <w:t> </w:t>
            </w:r>
            <w:r w:rsidRPr="00C44CE2">
              <w:rPr>
                <w:rFonts w:ascii="Nirmala UI Semilight" w:eastAsia="Times New Roman" w:hAnsi="Nirmala UI Semilight" w:cs="Nirmala UI Semilight"/>
                <w:color w:val="000000" w:themeColor="text1"/>
                <w:sz w:val="20"/>
                <w:szCs w:val="20"/>
              </w:rPr>
              <w:t> </w:t>
            </w:r>
          </w:p>
        </w:tc>
        <w:tc>
          <w:tcPr>
            <w:tcW w:w="433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CBC2F8D" w14:textId="77777777" w:rsidR="0088006B" w:rsidRPr="00DA7609" w:rsidRDefault="0088006B" w:rsidP="0088006B">
            <w:pPr>
              <w:pStyle w:val="ListParagraph"/>
              <w:numPr>
                <w:ilvl w:val="0"/>
                <w:numId w:val="49"/>
              </w:numPr>
              <w:spacing w:after="0" w:line="200" w:lineRule="exact"/>
              <w:ind w:left="144" w:hanging="144"/>
              <w:jc w:val="left"/>
              <w:textAlignment w:val="baseline"/>
              <w:rPr>
                <w:rFonts w:ascii="Times New Roman" w:hAnsi="Times New Roman"/>
                <w:b/>
                <w:bCs/>
                <w:sz w:val="20"/>
              </w:rPr>
            </w:pPr>
            <w:r w:rsidRPr="00DA7609">
              <w:rPr>
                <w:rFonts w:ascii="Nirmala UI Semilight" w:hAnsi="Nirmala UI Semilight" w:cs="Nirmala UI Semilight"/>
                <w:b/>
                <w:bCs/>
                <w:color w:val="000000" w:themeColor="text1"/>
                <w:sz w:val="20"/>
              </w:rPr>
              <w:t>Michael Reynolds (Jerret Fischer as proxy) </w:t>
            </w:r>
          </w:p>
          <w:p w14:paraId="3A79243E" w14:textId="77777777" w:rsidR="0088006B" w:rsidRPr="00DA7609" w:rsidRDefault="0088006B" w:rsidP="0088006B">
            <w:pPr>
              <w:pStyle w:val="ListParagraph"/>
              <w:numPr>
                <w:ilvl w:val="0"/>
                <w:numId w:val="49"/>
              </w:numPr>
              <w:spacing w:after="0" w:line="200" w:lineRule="exact"/>
              <w:ind w:left="144" w:hanging="144"/>
              <w:jc w:val="left"/>
              <w:textAlignment w:val="baseline"/>
              <w:rPr>
                <w:rFonts w:ascii="Times New Roman" w:hAnsi="Times New Roman"/>
                <w:b/>
                <w:bCs/>
                <w:sz w:val="20"/>
              </w:rPr>
            </w:pPr>
            <w:r w:rsidRPr="00DA7609">
              <w:rPr>
                <w:rFonts w:ascii="Nirmala UI Semilight" w:hAnsi="Nirmala UI Semilight" w:cs="Nirmala UI Semilight"/>
                <w:b/>
                <w:bCs/>
                <w:color w:val="000000" w:themeColor="text1"/>
                <w:sz w:val="20"/>
              </w:rPr>
              <w:t>Ray Johnson (Leah Marquez-Glynn</w:t>
            </w:r>
            <w:r w:rsidRPr="00DA7609">
              <w:rPr>
                <w:rFonts w:ascii="Nirmala UI Semilight" w:hAnsi="Nirmala UI Semilight" w:cs="Nirmala UI Semilight"/>
                <w:b/>
                <w:bCs/>
                <w:i/>
                <w:iCs/>
                <w:color w:val="000000" w:themeColor="text1"/>
                <w:sz w:val="20"/>
              </w:rPr>
              <w:t xml:space="preserve"> </w:t>
            </w:r>
            <w:r w:rsidRPr="00DA7609">
              <w:rPr>
                <w:rFonts w:ascii="Nirmala UI Semilight" w:hAnsi="Nirmala UI Semilight" w:cs="Nirmala UI Semilight"/>
                <w:b/>
                <w:bCs/>
                <w:color w:val="000000" w:themeColor="text1"/>
                <w:sz w:val="20"/>
              </w:rPr>
              <w:t>as proxy) </w:t>
            </w:r>
          </w:p>
          <w:p w14:paraId="54702734" w14:textId="77777777" w:rsidR="0088006B" w:rsidRPr="00DA7609" w:rsidRDefault="0088006B" w:rsidP="0088006B">
            <w:pPr>
              <w:pStyle w:val="ListParagraph"/>
              <w:numPr>
                <w:ilvl w:val="0"/>
                <w:numId w:val="49"/>
              </w:numPr>
              <w:spacing w:after="0" w:line="200" w:lineRule="exact"/>
              <w:ind w:left="144" w:hanging="144"/>
              <w:jc w:val="left"/>
              <w:textAlignment w:val="baseline"/>
              <w:rPr>
                <w:rFonts w:ascii="Times New Roman" w:hAnsi="Times New Roman"/>
                <w:b/>
                <w:bCs/>
                <w:sz w:val="20"/>
              </w:rPr>
            </w:pPr>
            <w:r w:rsidRPr="00DA7609">
              <w:rPr>
                <w:rFonts w:ascii="Nirmala UI Semilight" w:hAnsi="Nirmala UI Semilight" w:cs="Nirmala UI Semilight"/>
                <w:b/>
                <w:bCs/>
                <w:color w:val="000000" w:themeColor="text1"/>
                <w:sz w:val="20"/>
              </w:rPr>
              <w:t>Garrison Marr</w:t>
            </w:r>
            <w:r w:rsidRPr="00DA7609">
              <w:rPr>
                <w:rFonts w:ascii="Arial" w:hAnsi="Arial" w:cs="Arial"/>
                <w:b/>
                <w:bCs/>
                <w:color w:val="000000" w:themeColor="text1"/>
                <w:sz w:val="20"/>
              </w:rPr>
              <w:t> </w:t>
            </w:r>
            <w:r w:rsidRPr="00DA7609">
              <w:rPr>
                <w:rFonts w:ascii="Nirmala UI Semilight" w:hAnsi="Nirmala UI Semilight" w:cs="Nirmala UI Semilight"/>
                <w:b/>
                <w:bCs/>
                <w:color w:val="000000" w:themeColor="text1"/>
                <w:sz w:val="20"/>
              </w:rPr>
              <w:t> </w:t>
            </w:r>
          </w:p>
          <w:p w14:paraId="6D9CD712" w14:textId="77777777" w:rsidR="0088006B" w:rsidRPr="00C44CE2" w:rsidRDefault="0088006B" w:rsidP="0088006B">
            <w:pPr>
              <w:pStyle w:val="ListParagraph"/>
              <w:numPr>
                <w:ilvl w:val="0"/>
                <w:numId w:val="49"/>
              </w:numPr>
              <w:spacing w:after="0" w:line="200" w:lineRule="exact"/>
              <w:ind w:left="144" w:hanging="144"/>
              <w:jc w:val="left"/>
              <w:textAlignment w:val="baseline"/>
              <w:rPr>
                <w:rFonts w:ascii="Times New Roman" w:hAnsi="Times New Roman"/>
                <w:sz w:val="20"/>
              </w:rPr>
            </w:pPr>
            <w:r w:rsidRPr="00DA7609">
              <w:rPr>
                <w:rFonts w:ascii="Nirmala UI Semilight" w:hAnsi="Nirmala UI Semilight" w:cs="Nirmala UI Semilight"/>
                <w:b/>
                <w:bCs/>
                <w:color w:val="000000" w:themeColor="text1"/>
                <w:sz w:val="20"/>
              </w:rPr>
              <w:t>Mike Bradshaw</w:t>
            </w:r>
          </w:p>
        </w:tc>
      </w:tr>
      <w:tr w:rsidR="0088006B" w:rsidRPr="00C44CE2" w14:paraId="635535F5" w14:textId="77777777">
        <w:trPr>
          <w:trHeight w:val="300"/>
        </w:trPr>
        <w:tc>
          <w:tcPr>
            <w:tcW w:w="55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5CA3EFD" w14:textId="77777777" w:rsidR="0088006B" w:rsidRPr="00C44CE2" w:rsidRDefault="0088006B">
            <w:pPr>
              <w:spacing w:after="0" w:line="200" w:lineRule="exact"/>
              <w:textAlignment w:val="baseline"/>
              <w:rPr>
                <w:rFonts w:ascii="Times New Roman" w:eastAsia="Times New Roman" w:hAnsi="Times New Roman" w:cs="Times New Roman"/>
                <w:sz w:val="20"/>
                <w:szCs w:val="20"/>
              </w:rPr>
            </w:pPr>
            <w:r w:rsidRPr="00C44CE2">
              <w:rPr>
                <w:rFonts w:ascii="Nirmala UI Semilight" w:eastAsia="Times New Roman" w:hAnsi="Nirmala UI Semilight" w:cs="Nirmala UI Semilight"/>
                <w:color w:val="000000" w:themeColor="text1"/>
                <w:sz w:val="20"/>
                <w:szCs w:val="20"/>
              </w:rPr>
              <w:t>RAPC/Participant Retail Competition Load Responsible Entity (</w:t>
            </w:r>
            <w:proofErr w:type="gramStart"/>
            <w:r w:rsidRPr="00C44CE2">
              <w:rPr>
                <w:rFonts w:ascii="Nirmala UI Semilight" w:eastAsia="Times New Roman" w:hAnsi="Nirmala UI Semilight" w:cs="Nirmala UI Semilight"/>
                <w:color w:val="000000" w:themeColor="text1"/>
                <w:sz w:val="20"/>
                <w:szCs w:val="20"/>
              </w:rPr>
              <w:t>LRE)</w:t>
            </w:r>
            <w:r w:rsidRPr="00C44CE2">
              <w:rPr>
                <w:rFonts w:ascii="Arial" w:eastAsia="Times New Roman" w:hAnsi="Arial" w:cs="Arial"/>
                <w:color w:val="000000" w:themeColor="text1"/>
                <w:sz w:val="20"/>
                <w:szCs w:val="20"/>
              </w:rPr>
              <w:t>   </w:t>
            </w:r>
            <w:proofErr w:type="gramEnd"/>
            <w:r w:rsidRPr="00C44CE2">
              <w:rPr>
                <w:rFonts w:ascii="Arial" w:eastAsia="Times New Roman" w:hAnsi="Arial" w:cs="Arial"/>
                <w:color w:val="000000" w:themeColor="text1"/>
                <w:sz w:val="20"/>
                <w:szCs w:val="20"/>
              </w:rPr>
              <w:t>  </w:t>
            </w:r>
            <w:r w:rsidRPr="00C44CE2">
              <w:rPr>
                <w:rFonts w:ascii="Nirmala UI Semilight" w:eastAsia="Times New Roman" w:hAnsi="Nirmala UI Semilight" w:cs="Nirmala UI Semilight"/>
                <w:color w:val="000000" w:themeColor="text1"/>
                <w:sz w:val="20"/>
                <w:szCs w:val="20"/>
              </w:rPr>
              <w:t> </w:t>
            </w:r>
          </w:p>
        </w:tc>
        <w:tc>
          <w:tcPr>
            <w:tcW w:w="433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ADF1620" w14:textId="77777777" w:rsidR="0088006B" w:rsidRPr="00C44CE2" w:rsidRDefault="0088006B" w:rsidP="0088006B">
            <w:pPr>
              <w:pStyle w:val="ListParagraph"/>
              <w:numPr>
                <w:ilvl w:val="0"/>
                <w:numId w:val="48"/>
              </w:numPr>
              <w:spacing w:after="0" w:line="200" w:lineRule="exact"/>
              <w:ind w:left="144" w:hanging="144"/>
              <w:jc w:val="left"/>
              <w:textAlignment w:val="baseline"/>
              <w:rPr>
                <w:rFonts w:ascii="Times New Roman" w:hAnsi="Times New Roman"/>
                <w:sz w:val="20"/>
              </w:rPr>
            </w:pPr>
            <w:r w:rsidRPr="00C44CE2">
              <w:rPr>
                <w:rFonts w:ascii="Nirmala UI Semilight" w:hAnsi="Nirmala UI Semilight" w:cs="Nirmala UI Semilight"/>
                <w:color w:val="000000" w:themeColor="text1"/>
                <w:sz w:val="20"/>
              </w:rPr>
              <w:t>Ian White</w:t>
            </w:r>
            <w:r w:rsidRPr="00C44CE2">
              <w:rPr>
                <w:rFonts w:ascii="Arial" w:hAnsi="Arial" w:cs="Arial"/>
                <w:color w:val="000000" w:themeColor="text1"/>
                <w:sz w:val="20"/>
              </w:rPr>
              <w:t>    </w:t>
            </w:r>
          </w:p>
          <w:p w14:paraId="1B609588" w14:textId="77777777" w:rsidR="0088006B" w:rsidRPr="00DA7609" w:rsidRDefault="0088006B" w:rsidP="0088006B">
            <w:pPr>
              <w:pStyle w:val="ListParagraph"/>
              <w:numPr>
                <w:ilvl w:val="0"/>
                <w:numId w:val="48"/>
              </w:numPr>
              <w:spacing w:after="0" w:line="200" w:lineRule="exact"/>
              <w:ind w:left="144" w:hanging="144"/>
              <w:jc w:val="left"/>
              <w:textAlignment w:val="baseline"/>
              <w:rPr>
                <w:rFonts w:ascii="Times New Roman" w:hAnsi="Times New Roman"/>
                <w:b/>
                <w:bCs/>
                <w:sz w:val="20"/>
              </w:rPr>
            </w:pPr>
            <w:r w:rsidRPr="00DA7609">
              <w:rPr>
                <w:rFonts w:ascii="Nirmala UI Semilight" w:hAnsi="Nirmala UI Semilight" w:cs="Nirmala UI Semilight"/>
                <w:b/>
                <w:bCs/>
                <w:color w:val="000000" w:themeColor="text1"/>
                <w:sz w:val="20"/>
              </w:rPr>
              <w:t>Bill Goddard</w:t>
            </w:r>
            <w:r w:rsidRPr="00DA7609">
              <w:rPr>
                <w:rFonts w:ascii="Arial" w:hAnsi="Arial" w:cs="Arial"/>
                <w:b/>
                <w:bCs/>
                <w:color w:val="000000" w:themeColor="text1"/>
                <w:sz w:val="20"/>
              </w:rPr>
              <w:t>     </w:t>
            </w:r>
            <w:r w:rsidRPr="00DA7609">
              <w:rPr>
                <w:rFonts w:ascii="Nirmala UI Semilight" w:hAnsi="Nirmala UI Semilight" w:cs="Nirmala UI Semilight"/>
                <w:b/>
                <w:bCs/>
                <w:color w:val="000000" w:themeColor="text1"/>
                <w:sz w:val="20"/>
              </w:rPr>
              <w:t> </w:t>
            </w:r>
          </w:p>
        </w:tc>
      </w:tr>
      <w:tr w:rsidR="0088006B" w:rsidRPr="00C44CE2" w14:paraId="65741193" w14:textId="77777777">
        <w:trPr>
          <w:trHeight w:val="300"/>
        </w:trPr>
        <w:tc>
          <w:tcPr>
            <w:tcW w:w="55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703D0A5" w14:textId="77777777" w:rsidR="0088006B" w:rsidRPr="00C44CE2" w:rsidRDefault="0088006B">
            <w:pPr>
              <w:spacing w:after="0" w:line="200" w:lineRule="exact"/>
              <w:textAlignment w:val="baseline"/>
              <w:rPr>
                <w:rFonts w:ascii="Times New Roman" w:eastAsia="Times New Roman" w:hAnsi="Times New Roman" w:cs="Times New Roman"/>
                <w:sz w:val="20"/>
                <w:szCs w:val="20"/>
              </w:rPr>
            </w:pPr>
            <w:r w:rsidRPr="00C44CE2">
              <w:rPr>
                <w:rFonts w:ascii="Nirmala UI Semilight" w:eastAsia="Times New Roman" w:hAnsi="Nirmala UI Semilight" w:cs="Nirmala UI Semilight"/>
                <w:color w:val="000000" w:themeColor="text1"/>
                <w:sz w:val="20"/>
                <w:szCs w:val="20"/>
              </w:rPr>
              <w:t>Federal Power Marketing Administration</w:t>
            </w:r>
            <w:r w:rsidRPr="00C44CE2">
              <w:rPr>
                <w:rFonts w:ascii="Arial" w:eastAsia="Times New Roman" w:hAnsi="Arial" w:cs="Arial"/>
                <w:color w:val="000000" w:themeColor="text1"/>
                <w:sz w:val="20"/>
                <w:szCs w:val="20"/>
              </w:rPr>
              <w:t>     </w:t>
            </w:r>
            <w:r w:rsidRPr="00C44CE2">
              <w:rPr>
                <w:rFonts w:ascii="Nirmala UI Semilight" w:eastAsia="Times New Roman" w:hAnsi="Nirmala UI Semilight" w:cs="Nirmala UI Semilight"/>
                <w:color w:val="000000" w:themeColor="text1"/>
                <w:sz w:val="20"/>
                <w:szCs w:val="20"/>
              </w:rPr>
              <w:t> </w:t>
            </w:r>
          </w:p>
        </w:tc>
        <w:tc>
          <w:tcPr>
            <w:tcW w:w="433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8681F36" w14:textId="77777777" w:rsidR="0088006B" w:rsidRPr="00C44CE2" w:rsidRDefault="0088006B" w:rsidP="0088006B">
            <w:pPr>
              <w:pStyle w:val="ListParagraph"/>
              <w:numPr>
                <w:ilvl w:val="0"/>
                <w:numId w:val="47"/>
              </w:numPr>
              <w:spacing w:after="0" w:line="200" w:lineRule="exact"/>
              <w:ind w:left="144" w:hanging="144"/>
              <w:jc w:val="left"/>
              <w:textAlignment w:val="baseline"/>
              <w:rPr>
                <w:rFonts w:ascii="Nirmala UI Semilight" w:hAnsi="Nirmala UI Semilight" w:cs="Nirmala UI Semilight"/>
                <w:sz w:val="20"/>
              </w:rPr>
            </w:pPr>
            <w:r w:rsidRPr="00C44CE2">
              <w:rPr>
                <w:rFonts w:ascii="Nirmala UI Semilight" w:hAnsi="Nirmala UI Semilight" w:cs="Nirmala UI Semilight"/>
                <w:color w:val="000000" w:themeColor="text1"/>
                <w:sz w:val="20"/>
              </w:rPr>
              <w:t>Jeff Cook</w:t>
            </w:r>
            <w:r w:rsidRPr="00C44CE2">
              <w:rPr>
                <w:rFonts w:ascii="Arial" w:hAnsi="Arial" w:cs="Arial"/>
                <w:color w:val="000000" w:themeColor="text1"/>
                <w:sz w:val="20"/>
              </w:rPr>
              <w:t> </w:t>
            </w:r>
            <w:r w:rsidRPr="00C44CE2">
              <w:rPr>
                <w:rFonts w:ascii="Nirmala UI Semilight" w:hAnsi="Nirmala UI Semilight" w:cs="Nirmala UI Semilight"/>
                <w:color w:val="000000" w:themeColor="text1"/>
                <w:sz w:val="20"/>
              </w:rPr>
              <w:t>(Rachel Dribble as proxy)</w:t>
            </w:r>
            <w:r w:rsidRPr="00C44CE2">
              <w:rPr>
                <w:rFonts w:ascii="Arial" w:hAnsi="Arial" w:cs="Arial"/>
                <w:color w:val="000000" w:themeColor="text1"/>
                <w:sz w:val="20"/>
              </w:rPr>
              <w:t> </w:t>
            </w:r>
            <w:r w:rsidRPr="00C44CE2">
              <w:rPr>
                <w:rFonts w:ascii="Nirmala UI Semilight" w:hAnsi="Nirmala UI Semilight" w:cs="Nirmala UI Semilight"/>
                <w:color w:val="000000" w:themeColor="text1"/>
                <w:sz w:val="20"/>
              </w:rPr>
              <w:t> </w:t>
            </w:r>
          </w:p>
          <w:p w14:paraId="5D822937" w14:textId="77777777" w:rsidR="0088006B" w:rsidRPr="00E767E4" w:rsidRDefault="0088006B" w:rsidP="0088006B">
            <w:pPr>
              <w:pStyle w:val="ListParagraph"/>
              <w:numPr>
                <w:ilvl w:val="0"/>
                <w:numId w:val="47"/>
              </w:numPr>
              <w:spacing w:after="0" w:line="200" w:lineRule="exact"/>
              <w:ind w:left="144" w:hanging="144"/>
              <w:jc w:val="left"/>
              <w:textAlignment w:val="baseline"/>
              <w:rPr>
                <w:rFonts w:ascii="Nirmala UI Semilight" w:hAnsi="Nirmala UI Semilight" w:cs="Nirmala UI Semilight"/>
                <w:b/>
                <w:bCs/>
                <w:sz w:val="20"/>
              </w:rPr>
            </w:pPr>
            <w:r w:rsidRPr="00E767E4">
              <w:rPr>
                <w:rFonts w:ascii="Nirmala UI Semilight" w:hAnsi="Nirmala UI Semilight" w:cs="Nirmala UI Semilight"/>
                <w:b/>
                <w:bCs/>
                <w:color w:val="000000" w:themeColor="text1"/>
                <w:sz w:val="20"/>
              </w:rPr>
              <w:t>Rachel Dibble</w:t>
            </w:r>
            <w:r w:rsidRPr="00E767E4">
              <w:rPr>
                <w:rFonts w:ascii="Arial" w:hAnsi="Arial" w:cs="Arial"/>
                <w:b/>
                <w:bCs/>
                <w:color w:val="000000" w:themeColor="text1"/>
                <w:sz w:val="20"/>
              </w:rPr>
              <w:t> </w:t>
            </w:r>
            <w:r w:rsidRPr="00E767E4">
              <w:rPr>
                <w:rFonts w:ascii="Nirmala UI Semilight" w:hAnsi="Nirmala UI Semilight" w:cs="Nirmala UI Semilight"/>
                <w:b/>
                <w:bCs/>
                <w:color w:val="000000" w:themeColor="text1"/>
                <w:sz w:val="20"/>
              </w:rPr>
              <w:t> </w:t>
            </w:r>
          </w:p>
        </w:tc>
      </w:tr>
      <w:tr w:rsidR="0088006B" w:rsidRPr="00C44CE2" w14:paraId="7E073D5A" w14:textId="77777777">
        <w:trPr>
          <w:trHeight w:val="300"/>
        </w:trPr>
        <w:tc>
          <w:tcPr>
            <w:tcW w:w="55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0D31224" w14:textId="77777777" w:rsidR="0088006B" w:rsidRPr="00C44CE2" w:rsidRDefault="0088006B">
            <w:pPr>
              <w:spacing w:after="0" w:line="200" w:lineRule="exact"/>
              <w:textAlignment w:val="baseline"/>
              <w:rPr>
                <w:rFonts w:ascii="Times New Roman" w:eastAsia="Times New Roman" w:hAnsi="Times New Roman" w:cs="Times New Roman"/>
                <w:sz w:val="20"/>
                <w:szCs w:val="20"/>
              </w:rPr>
            </w:pPr>
            <w:r w:rsidRPr="00C44CE2">
              <w:rPr>
                <w:rFonts w:ascii="Nirmala UI Semilight" w:eastAsia="Times New Roman" w:hAnsi="Nirmala UI Semilight" w:cs="Nirmala UI Semilight"/>
                <w:color w:val="000000" w:themeColor="text1"/>
                <w:sz w:val="20"/>
                <w:szCs w:val="20"/>
              </w:rPr>
              <w:t>Independent power producers/marketers</w:t>
            </w:r>
            <w:r w:rsidRPr="00C44CE2">
              <w:rPr>
                <w:rFonts w:ascii="Arial" w:eastAsia="Times New Roman" w:hAnsi="Arial" w:cs="Arial"/>
                <w:color w:val="000000" w:themeColor="text1"/>
                <w:sz w:val="20"/>
                <w:szCs w:val="20"/>
              </w:rPr>
              <w:t>     </w:t>
            </w:r>
            <w:r w:rsidRPr="00C44CE2">
              <w:rPr>
                <w:rFonts w:ascii="Nirmala UI Semilight" w:eastAsia="Times New Roman" w:hAnsi="Nirmala UI Semilight" w:cs="Nirmala UI Semilight"/>
                <w:color w:val="000000" w:themeColor="text1"/>
                <w:sz w:val="20"/>
                <w:szCs w:val="20"/>
              </w:rPr>
              <w:t> </w:t>
            </w:r>
          </w:p>
        </w:tc>
        <w:tc>
          <w:tcPr>
            <w:tcW w:w="433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C6BAB79" w14:textId="77777777" w:rsidR="0088006B" w:rsidRPr="00E767E4" w:rsidRDefault="0088006B" w:rsidP="0088006B">
            <w:pPr>
              <w:pStyle w:val="ListParagraph"/>
              <w:numPr>
                <w:ilvl w:val="0"/>
                <w:numId w:val="47"/>
              </w:numPr>
              <w:spacing w:after="0" w:line="200" w:lineRule="exact"/>
              <w:ind w:left="144" w:hanging="144"/>
              <w:jc w:val="left"/>
              <w:rPr>
                <w:rFonts w:ascii="Nirmala UI Semilight" w:hAnsi="Nirmala UI Semilight" w:cs="Nirmala UI Semilight"/>
                <w:b/>
                <w:bCs/>
                <w:color w:val="000000" w:themeColor="text1"/>
                <w:sz w:val="20"/>
              </w:rPr>
            </w:pPr>
            <w:r w:rsidRPr="00E767E4">
              <w:rPr>
                <w:rFonts w:ascii="Nirmala UI Semilight" w:hAnsi="Nirmala UI Semilight" w:cs="Nirmala UI Semilight"/>
                <w:b/>
                <w:bCs/>
                <w:color w:val="000000" w:themeColor="text1"/>
                <w:sz w:val="20"/>
              </w:rPr>
              <w:t>John Cooper (Benjamin Fitch Fleischmann as proxy)</w:t>
            </w:r>
          </w:p>
          <w:p w14:paraId="399E03DE" w14:textId="77777777" w:rsidR="0088006B" w:rsidRPr="00C44CE2" w:rsidRDefault="0088006B" w:rsidP="0088006B">
            <w:pPr>
              <w:pStyle w:val="ListParagraph"/>
              <w:numPr>
                <w:ilvl w:val="0"/>
                <w:numId w:val="47"/>
              </w:numPr>
              <w:spacing w:after="0" w:line="200" w:lineRule="exact"/>
              <w:ind w:left="144" w:hanging="144"/>
              <w:jc w:val="left"/>
              <w:rPr>
                <w:rFonts w:ascii="Nirmala UI Semilight" w:hAnsi="Nirmala UI Semilight" w:cs="Nirmala UI Semilight"/>
                <w:color w:val="000000" w:themeColor="text1"/>
                <w:sz w:val="20"/>
              </w:rPr>
            </w:pPr>
            <w:r w:rsidRPr="00E767E4">
              <w:rPr>
                <w:rFonts w:ascii="Nirmala UI Semilight" w:hAnsi="Nirmala UI Semilight" w:cs="Nirmala UI Semilight"/>
                <w:b/>
                <w:bCs/>
                <w:color w:val="000000" w:themeColor="text1"/>
                <w:sz w:val="20"/>
              </w:rPr>
              <w:t>Benjamin Fitch Fleischmann</w:t>
            </w:r>
            <w:r w:rsidRPr="00C44CE2">
              <w:rPr>
                <w:rFonts w:ascii="Nirmala UI Semilight" w:hAnsi="Nirmala UI Semilight" w:cs="Nirmala UI Semilight"/>
                <w:color w:val="000000" w:themeColor="text1"/>
                <w:sz w:val="20"/>
              </w:rPr>
              <w:t> </w:t>
            </w:r>
          </w:p>
        </w:tc>
      </w:tr>
      <w:tr w:rsidR="0088006B" w:rsidRPr="00C44CE2" w14:paraId="371DE441" w14:textId="77777777">
        <w:trPr>
          <w:trHeight w:val="300"/>
        </w:trPr>
        <w:tc>
          <w:tcPr>
            <w:tcW w:w="55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6C9A080" w14:textId="77777777" w:rsidR="0088006B" w:rsidRPr="00C44CE2" w:rsidRDefault="0088006B">
            <w:pPr>
              <w:spacing w:after="0" w:line="200" w:lineRule="exact"/>
              <w:textAlignment w:val="baseline"/>
              <w:rPr>
                <w:rFonts w:ascii="Times New Roman" w:eastAsia="Times New Roman" w:hAnsi="Times New Roman" w:cs="Times New Roman"/>
                <w:sz w:val="20"/>
                <w:szCs w:val="20"/>
              </w:rPr>
            </w:pPr>
            <w:r w:rsidRPr="00C44CE2">
              <w:rPr>
                <w:rFonts w:ascii="Nirmala UI Semilight" w:eastAsia="Times New Roman" w:hAnsi="Nirmala UI Semilight" w:cs="Nirmala UI Semilight"/>
                <w:color w:val="000000" w:themeColor="text1"/>
                <w:sz w:val="20"/>
                <w:szCs w:val="20"/>
              </w:rPr>
              <w:t>Public interest organizations</w:t>
            </w:r>
            <w:r w:rsidRPr="00C44CE2">
              <w:rPr>
                <w:rFonts w:ascii="Arial" w:eastAsia="Times New Roman" w:hAnsi="Arial" w:cs="Arial"/>
                <w:color w:val="000000" w:themeColor="text1"/>
                <w:sz w:val="20"/>
                <w:szCs w:val="20"/>
              </w:rPr>
              <w:t>     </w:t>
            </w:r>
            <w:r w:rsidRPr="00C44CE2">
              <w:rPr>
                <w:rFonts w:ascii="Nirmala UI Semilight" w:eastAsia="Times New Roman" w:hAnsi="Nirmala UI Semilight" w:cs="Nirmala UI Semilight"/>
                <w:color w:val="000000" w:themeColor="text1"/>
                <w:sz w:val="20"/>
                <w:szCs w:val="20"/>
              </w:rPr>
              <w:t> </w:t>
            </w:r>
          </w:p>
        </w:tc>
        <w:tc>
          <w:tcPr>
            <w:tcW w:w="433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01F439D" w14:textId="77777777" w:rsidR="0088006B" w:rsidRPr="00E767E4" w:rsidRDefault="0088006B" w:rsidP="0088006B">
            <w:pPr>
              <w:pStyle w:val="ListParagraph"/>
              <w:numPr>
                <w:ilvl w:val="0"/>
                <w:numId w:val="47"/>
              </w:numPr>
              <w:spacing w:after="0" w:line="200" w:lineRule="exact"/>
              <w:ind w:left="144" w:hanging="144"/>
              <w:jc w:val="left"/>
              <w:rPr>
                <w:rFonts w:ascii="Nirmala UI Semilight" w:hAnsi="Nirmala UI Semilight" w:cs="Nirmala UI Semilight"/>
                <w:b/>
                <w:bCs/>
                <w:color w:val="000000" w:themeColor="text1"/>
                <w:sz w:val="20"/>
              </w:rPr>
            </w:pPr>
            <w:r w:rsidRPr="00E767E4">
              <w:rPr>
                <w:rFonts w:ascii="Nirmala UI Semilight" w:hAnsi="Nirmala UI Semilight" w:cs="Nirmala UI Semilight"/>
                <w:b/>
                <w:bCs/>
                <w:color w:val="000000" w:themeColor="text1"/>
                <w:sz w:val="20"/>
              </w:rPr>
              <w:t>Fred Huette (Max Greene as proxy) </w:t>
            </w:r>
          </w:p>
          <w:p w14:paraId="3A71B447" w14:textId="77777777" w:rsidR="0088006B" w:rsidRPr="00C44CE2" w:rsidRDefault="0088006B" w:rsidP="0088006B">
            <w:pPr>
              <w:pStyle w:val="ListParagraph"/>
              <w:numPr>
                <w:ilvl w:val="0"/>
                <w:numId w:val="47"/>
              </w:numPr>
              <w:spacing w:after="0" w:line="200" w:lineRule="exact"/>
              <w:ind w:left="144" w:hanging="144"/>
              <w:jc w:val="left"/>
              <w:rPr>
                <w:rFonts w:ascii="Nirmala UI Semilight" w:hAnsi="Nirmala UI Semilight" w:cs="Nirmala UI Semilight"/>
                <w:color w:val="000000" w:themeColor="text1"/>
                <w:sz w:val="20"/>
              </w:rPr>
            </w:pPr>
            <w:r w:rsidRPr="00E767E4">
              <w:rPr>
                <w:rFonts w:ascii="Nirmala UI Semilight" w:hAnsi="Nirmala UI Semilight" w:cs="Nirmala UI Semilight"/>
                <w:b/>
                <w:bCs/>
                <w:color w:val="000000" w:themeColor="text1"/>
                <w:sz w:val="20"/>
              </w:rPr>
              <w:t>Max Greene</w:t>
            </w:r>
            <w:r w:rsidRPr="00C44CE2">
              <w:rPr>
                <w:rFonts w:ascii="Nirmala UI Semilight" w:hAnsi="Nirmala UI Semilight" w:cs="Nirmala UI Semilight"/>
                <w:color w:val="000000" w:themeColor="text1"/>
                <w:sz w:val="20"/>
              </w:rPr>
              <w:t> </w:t>
            </w:r>
          </w:p>
        </w:tc>
      </w:tr>
      <w:tr w:rsidR="0088006B" w:rsidRPr="00C44CE2" w14:paraId="45FE2ADC" w14:textId="77777777">
        <w:trPr>
          <w:trHeight w:val="300"/>
        </w:trPr>
        <w:tc>
          <w:tcPr>
            <w:tcW w:w="55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0CA7100" w14:textId="77777777" w:rsidR="0088006B" w:rsidRPr="00C44CE2" w:rsidRDefault="0088006B">
            <w:pPr>
              <w:spacing w:after="0" w:line="200" w:lineRule="exact"/>
              <w:textAlignment w:val="baseline"/>
              <w:rPr>
                <w:rFonts w:ascii="Times New Roman" w:eastAsia="Times New Roman" w:hAnsi="Times New Roman" w:cs="Times New Roman"/>
                <w:sz w:val="20"/>
                <w:szCs w:val="20"/>
              </w:rPr>
            </w:pPr>
            <w:r w:rsidRPr="00C44CE2">
              <w:rPr>
                <w:rFonts w:ascii="Nirmala UI Semilight" w:eastAsia="Times New Roman" w:hAnsi="Nirmala UI Semilight" w:cs="Nirmala UI Semilight"/>
                <w:color w:val="000000" w:themeColor="text1"/>
                <w:sz w:val="20"/>
                <w:szCs w:val="20"/>
              </w:rPr>
              <w:t>Retail customer advocacy group</w:t>
            </w:r>
            <w:r w:rsidRPr="00C44CE2">
              <w:rPr>
                <w:rFonts w:ascii="Arial" w:eastAsia="Times New Roman" w:hAnsi="Arial" w:cs="Arial"/>
                <w:color w:val="000000" w:themeColor="text1"/>
                <w:sz w:val="20"/>
                <w:szCs w:val="20"/>
              </w:rPr>
              <w:t>     </w:t>
            </w:r>
            <w:r w:rsidRPr="00C44CE2">
              <w:rPr>
                <w:rFonts w:ascii="Nirmala UI Semilight" w:eastAsia="Times New Roman" w:hAnsi="Nirmala UI Semilight" w:cs="Nirmala UI Semilight"/>
                <w:color w:val="000000" w:themeColor="text1"/>
                <w:sz w:val="20"/>
                <w:szCs w:val="20"/>
              </w:rPr>
              <w:t> </w:t>
            </w:r>
          </w:p>
        </w:tc>
        <w:tc>
          <w:tcPr>
            <w:tcW w:w="433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15DC93E" w14:textId="77777777" w:rsidR="0088006B" w:rsidRPr="00B04BB9" w:rsidRDefault="0088006B" w:rsidP="0088006B">
            <w:pPr>
              <w:pStyle w:val="ListParagraph"/>
              <w:numPr>
                <w:ilvl w:val="0"/>
                <w:numId w:val="47"/>
              </w:numPr>
              <w:spacing w:after="0" w:line="200" w:lineRule="exact"/>
              <w:ind w:left="144" w:hanging="144"/>
              <w:jc w:val="left"/>
              <w:rPr>
                <w:rFonts w:ascii="Nirmala UI Semilight" w:hAnsi="Nirmala UI Semilight" w:cs="Nirmala UI Semilight"/>
                <w:b/>
                <w:bCs/>
                <w:color w:val="000000" w:themeColor="text1"/>
                <w:sz w:val="20"/>
              </w:rPr>
            </w:pPr>
            <w:r w:rsidRPr="00B04BB9">
              <w:rPr>
                <w:rFonts w:ascii="Nirmala UI Semilight" w:hAnsi="Nirmala UI Semilight" w:cs="Nirmala UI Semilight"/>
                <w:b/>
                <w:bCs/>
                <w:color w:val="000000" w:themeColor="text1"/>
                <w:sz w:val="20"/>
              </w:rPr>
              <w:t>Bela Vastag   </w:t>
            </w:r>
          </w:p>
        </w:tc>
      </w:tr>
      <w:tr w:rsidR="0088006B" w:rsidRPr="00C44CE2" w14:paraId="7A11F678" w14:textId="77777777">
        <w:trPr>
          <w:trHeight w:val="300"/>
        </w:trPr>
        <w:tc>
          <w:tcPr>
            <w:tcW w:w="55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2BF23DF" w14:textId="77777777" w:rsidR="0088006B" w:rsidRPr="00C44CE2" w:rsidRDefault="0088006B">
            <w:pPr>
              <w:spacing w:after="0" w:line="200" w:lineRule="exact"/>
              <w:textAlignment w:val="baseline"/>
              <w:rPr>
                <w:rFonts w:ascii="Times New Roman" w:eastAsia="Times New Roman" w:hAnsi="Times New Roman" w:cs="Times New Roman"/>
                <w:sz w:val="20"/>
                <w:szCs w:val="20"/>
              </w:rPr>
            </w:pPr>
            <w:r w:rsidRPr="00C44CE2">
              <w:rPr>
                <w:rFonts w:ascii="Nirmala UI Semilight" w:eastAsia="Times New Roman" w:hAnsi="Nirmala UI Semilight" w:cs="Nirmala UI Semilight"/>
                <w:color w:val="000000" w:themeColor="text1"/>
                <w:sz w:val="20"/>
                <w:szCs w:val="20"/>
              </w:rPr>
              <w:t>Industrial customer advocacy group</w:t>
            </w:r>
            <w:r w:rsidRPr="00C44CE2">
              <w:rPr>
                <w:rFonts w:ascii="Arial" w:eastAsia="Times New Roman" w:hAnsi="Arial" w:cs="Arial"/>
                <w:color w:val="000000" w:themeColor="text1"/>
                <w:sz w:val="20"/>
                <w:szCs w:val="20"/>
              </w:rPr>
              <w:t>     </w:t>
            </w:r>
            <w:r w:rsidRPr="00C44CE2">
              <w:rPr>
                <w:rFonts w:ascii="Nirmala UI Semilight" w:eastAsia="Times New Roman" w:hAnsi="Nirmala UI Semilight" w:cs="Nirmala UI Semilight"/>
                <w:color w:val="000000" w:themeColor="text1"/>
                <w:sz w:val="20"/>
                <w:szCs w:val="20"/>
              </w:rPr>
              <w:t> </w:t>
            </w:r>
          </w:p>
        </w:tc>
        <w:tc>
          <w:tcPr>
            <w:tcW w:w="433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9CFF5B5" w14:textId="77777777" w:rsidR="0088006B" w:rsidRPr="00B04BB9" w:rsidRDefault="0088006B" w:rsidP="0088006B">
            <w:pPr>
              <w:pStyle w:val="ListParagraph"/>
              <w:numPr>
                <w:ilvl w:val="0"/>
                <w:numId w:val="47"/>
              </w:numPr>
              <w:spacing w:after="0" w:line="200" w:lineRule="exact"/>
              <w:ind w:left="144" w:hanging="144"/>
              <w:jc w:val="left"/>
              <w:rPr>
                <w:rFonts w:ascii="Nirmala UI Semilight" w:hAnsi="Nirmala UI Semilight" w:cs="Nirmala UI Semilight"/>
                <w:b/>
                <w:bCs/>
                <w:color w:val="000000" w:themeColor="text1"/>
                <w:sz w:val="20"/>
              </w:rPr>
            </w:pPr>
            <w:r w:rsidRPr="00B04BB9">
              <w:rPr>
                <w:rFonts w:ascii="Nirmala UI Semilight" w:hAnsi="Nirmala UI Semilight" w:cs="Nirmala UI Semilight"/>
                <w:b/>
                <w:bCs/>
                <w:color w:val="000000" w:themeColor="text1"/>
                <w:sz w:val="20"/>
              </w:rPr>
              <w:t>Sommer Moser (Tyler Pepper as proxy)</w:t>
            </w:r>
          </w:p>
        </w:tc>
      </w:tr>
      <w:tr w:rsidR="0088006B" w:rsidRPr="00C44CE2" w14:paraId="3A33854A" w14:textId="77777777">
        <w:trPr>
          <w:trHeight w:val="300"/>
        </w:trPr>
        <w:tc>
          <w:tcPr>
            <w:tcW w:w="55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E295202" w14:textId="77777777" w:rsidR="0088006B" w:rsidRPr="00C44CE2" w:rsidRDefault="0088006B">
            <w:pPr>
              <w:spacing w:after="0" w:line="200" w:lineRule="exact"/>
              <w:textAlignment w:val="baseline"/>
              <w:rPr>
                <w:rFonts w:ascii="Times New Roman" w:eastAsia="Times New Roman" w:hAnsi="Times New Roman" w:cs="Times New Roman"/>
                <w:sz w:val="20"/>
                <w:szCs w:val="20"/>
              </w:rPr>
            </w:pPr>
            <w:r w:rsidRPr="00C44CE2">
              <w:rPr>
                <w:rFonts w:ascii="Nirmala UI Semilight" w:eastAsia="Times New Roman" w:hAnsi="Nirmala UI Semilight" w:cs="Nirmala UI Semilight"/>
                <w:color w:val="000000" w:themeColor="text1"/>
                <w:sz w:val="20"/>
                <w:szCs w:val="20"/>
              </w:rPr>
              <w:t>Load Serving Entity (LSE) (or representative) with loads in the WRAP represented by another LRE and otherwise not eligible for any other sector</w:t>
            </w:r>
            <w:r w:rsidRPr="00C44CE2">
              <w:rPr>
                <w:rFonts w:ascii="Arial" w:eastAsia="Times New Roman" w:hAnsi="Arial" w:cs="Arial"/>
                <w:color w:val="000000" w:themeColor="text1"/>
                <w:sz w:val="20"/>
                <w:szCs w:val="20"/>
              </w:rPr>
              <w:t>     </w:t>
            </w:r>
            <w:r w:rsidRPr="00C44CE2">
              <w:rPr>
                <w:rFonts w:ascii="Nirmala UI Semilight" w:eastAsia="Times New Roman" w:hAnsi="Nirmala UI Semilight" w:cs="Nirmala UI Semilight"/>
                <w:color w:val="000000" w:themeColor="text1"/>
                <w:sz w:val="20"/>
                <w:szCs w:val="20"/>
              </w:rPr>
              <w:t> </w:t>
            </w:r>
          </w:p>
        </w:tc>
        <w:tc>
          <w:tcPr>
            <w:tcW w:w="433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23BC64F" w14:textId="77777777" w:rsidR="0088006B" w:rsidRPr="00C44CE2" w:rsidRDefault="0088006B" w:rsidP="0088006B">
            <w:pPr>
              <w:pStyle w:val="ListParagraph"/>
              <w:numPr>
                <w:ilvl w:val="0"/>
                <w:numId w:val="47"/>
              </w:numPr>
              <w:spacing w:after="0" w:line="200" w:lineRule="exact"/>
              <w:ind w:left="144" w:hanging="144"/>
              <w:jc w:val="left"/>
              <w:rPr>
                <w:rFonts w:ascii="Nirmala UI Semilight" w:hAnsi="Nirmala UI Semilight" w:cs="Nirmala UI Semilight"/>
                <w:color w:val="000000" w:themeColor="text1"/>
                <w:sz w:val="20"/>
              </w:rPr>
            </w:pPr>
            <w:r w:rsidRPr="00C44CE2">
              <w:rPr>
                <w:rFonts w:ascii="Nirmala UI Semilight" w:hAnsi="Nirmala UI Semilight" w:cs="Nirmala UI Semilight"/>
                <w:color w:val="000000" w:themeColor="text1"/>
                <w:sz w:val="20"/>
              </w:rPr>
              <w:t>Chris Allen     </w:t>
            </w:r>
          </w:p>
        </w:tc>
      </w:tr>
      <w:tr w:rsidR="0088006B" w:rsidRPr="00C44CE2" w14:paraId="19538FF7" w14:textId="77777777">
        <w:trPr>
          <w:trHeight w:val="300"/>
        </w:trPr>
        <w:tc>
          <w:tcPr>
            <w:tcW w:w="55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58D3163" w14:textId="77777777" w:rsidR="0088006B" w:rsidRPr="00C44CE2" w:rsidRDefault="0088006B">
            <w:pPr>
              <w:spacing w:after="0" w:line="200" w:lineRule="exact"/>
              <w:textAlignment w:val="baseline"/>
              <w:rPr>
                <w:rFonts w:ascii="Times New Roman" w:eastAsia="Times New Roman" w:hAnsi="Times New Roman" w:cs="Times New Roman"/>
                <w:sz w:val="20"/>
                <w:szCs w:val="20"/>
              </w:rPr>
            </w:pPr>
            <w:r w:rsidRPr="00C44CE2">
              <w:rPr>
                <w:rFonts w:ascii="Nirmala UI Semilight" w:eastAsia="Times New Roman" w:hAnsi="Nirmala UI Semilight" w:cs="Nirmala UI Semilight"/>
                <w:color w:val="000000" w:themeColor="text1"/>
                <w:sz w:val="20"/>
                <w:szCs w:val="20"/>
              </w:rPr>
              <w:t xml:space="preserve">COSR </w:t>
            </w:r>
            <w:r w:rsidRPr="00C44CE2">
              <w:rPr>
                <w:rFonts w:ascii="Arial" w:eastAsia="Times New Roman" w:hAnsi="Arial" w:cs="Arial"/>
                <w:color w:val="000000" w:themeColor="text1"/>
                <w:sz w:val="20"/>
                <w:szCs w:val="20"/>
              </w:rPr>
              <w:t>  </w:t>
            </w:r>
            <w:r w:rsidRPr="00C44CE2">
              <w:rPr>
                <w:rFonts w:ascii="Arial" w:eastAsia="Times New Roman" w:hAnsi="Arial" w:cs="Arial"/>
                <w:b/>
                <w:bCs/>
                <w:color w:val="000000" w:themeColor="text1"/>
                <w:sz w:val="20"/>
                <w:szCs w:val="20"/>
              </w:rPr>
              <w:t>  </w:t>
            </w:r>
            <w:r w:rsidRPr="00C44CE2">
              <w:rPr>
                <w:rFonts w:ascii="Arial" w:eastAsia="Times New Roman" w:hAnsi="Arial" w:cs="Arial"/>
                <w:color w:val="000000" w:themeColor="text1"/>
                <w:sz w:val="20"/>
                <w:szCs w:val="20"/>
              </w:rPr>
              <w:t> </w:t>
            </w:r>
            <w:r w:rsidRPr="00C44CE2">
              <w:rPr>
                <w:rFonts w:ascii="Nirmala UI Semilight" w:eastAsia="Times New Roman" w:hAnsi="Nirmala UI Semilight" w:cs="Nirmala UI Semilight"/>
                <w:color w:val="000000" w:themeColor="text1"/>
                <w:sz w:val="20"/>
                <w:szCs w:val="20"/>
              </w:rPr>
              <w:t> </w:t>
            </w:r>
          </w:p>
        </w:tc>
        <w:tc>
          <w:tcPr>
            <w:tcW w:w="433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4AC8412" w14:textId="77777777" w:rsidR="0088006B" w:rsidRPr="00B04BB9" w:rsidRDefault="0088006B" w:rsidP="0088006B">
            <w:pPr>
              <w:pStyle w:val="ListParagraph"/>
              <w:numPr>
                <w:ilvl w:val="0"/>
                <w:numId w:val="47"/>
              </w:numPr>
              <w:spacing w:after="0" w:line="200" w:lineRule="exact"/>
              <w:ind w:left="144" w:hanging="144"/>
              <w:jc w:val="left"/>
              <w:rPr>
                <w:rFonts w:ascii="Nirmala UI Semilight" w:hAnsi="Nirmala UI Semilight" w:cs="Nirmala UI Semilight"/>
                <w:b/>
                <w:bCs/>
                <w:color w:val="000000" w:themeColor="text1"/>
                <w:sz w:val="20"/>
              </w:rPr>
            </w:pPr>
            <w:r w:rsidRPr="00B04BB9">
              <w:rPr>
                <w:rFonts w:ascii="Nirmala UI Semilight" w:hAnsi="Nirmala UI Semilight" w:cs="Nirmala UI Semilight"/>
                <w:b/>
                <w:bCs/>
                <w:color w:val="000000" w:themeColor="text1"/>
                <w:sz w:val="20"/>
              </w:rPr>
              <w:t>Chris Parker (Gia Anguiano as alternate) </w:t>
            </w:r>
          </w:p>
        </w:tc>
      </w:tr>
    </w:tbl>
    <w:p w14:paraId="35C6C016" w14:textId="77777777" w:rsidR="0088006B" w:rsidRPr="00C44CE2" w:rsidRDefault="0088006B" w:rsidP="0088006B">
      <w:pPr>
        <w:spacing w:before="240"/>
        <w:rPr>
          <w:rFonts w:ascii="Nirmala UI Semilight" w:hAnsi="Nirmala UI Semilight" w:cs="Nirmala UI Semilight"/>
          <w:b/>
          <w:bCs/>
          <w:sz w:val="20"/>
          <w:szCs w:val="20"/>
        </w:rPr>
      </w:pPr>
      <w:r w:rsidRPr="00C44CE2">
        <w:rPr>
          <w:rFonts w:ascii="Nirmala UI Semilight" w:hAnsi="Nirmala UI Semilight" w:cs="Nirmala UI Semilight"/>
          <w:b/>
          <w:bCs/>
          <w:sz w:val="20"/>
          <w:szCs w:val="20"/>
        </w:rPr>
        <w:t>Meeting Objectives</w:t>
      </w:r>
    </w:p>
    <w:p w14:paraId="24C3DF2A" w14:textId="77777777" w:rsidR="0088006B" w:rsidRPr="00C44CE2" w:rsidRDefault="0088006B" w:rsidP="0088006B">
      <w:pPr>
        <w:pStyle w:val="ListParagraph"/>
        <w:numPr>
          <w:ilvl w:val="0"/>
          <w:numId w:val="52"/>
        </w:numPr>
        <w:spacing w:after="160" w:line="259" w:lineRule="auto"/>
        <w:jc w:val="left"/>
        <w:rPr>
          <w:rFonts w:ascii="Nirmala UI Semilight" w:hAnsi="Nirmala UI Semilight" w:cs="Nirmala UI Semilight"/>
          <w:sz w:val="20"/>
        </w:rPr>
      </w:pPr>
      <w:r w:rsidRPr="00C44CE2">
        <w:rPr>
          <w:rFonts w:ascii="Nirmala UI Semilight" w:hAnsi="Nirmala UI Semilight" w:cs="Nirmala UI Semilight"/>
          <w:sz w:val="20"/>
        </w:rPr>
        <w:t>Provide Updates on Next Steps and Change Control Process</w:t>
      </w:r>
    </w:p>
    <w:p w14:paraId="09551990" w14:textId="77777777" w:rsidR="0088006B" w:rsidRPr="00C44CE2" w:rsidRDefault="0088006B" w:rsidP="0088006B">
      <w:pPr>
        <w:rPr>
          <w:rFonts w:ascii="Nirmala UI Semilight" w:eastAsia="Nirmala UI Semilight" w:hAnsi="Nirmala UI Semilight" w:cs="Nirmala UI Semilight"/>
          <w:color w:val="000000" w:themeColor="text1"/>
          <w:sz w:val="20"/>
          <w:szCs w:val="20"/>
        </w:rPr>
      </w:pPr>
      <w:r w:rsidRPr="00C44CE2">
        <w:rPr>
          <w:rFonts w:ascii="Nirmala UI Semilight" w:eastAsia="Nirmala UI Semilight" w:hAnsi="Nirmala UI Semilight" w:cs="Nirmala UI Semilight"/>
          <w:b/>
          <w:bCs/>
          <w:color w:val="000000" w:themeColor="text1"/>
          <w:sz w:val="20"/>
          <w:szCs w:val="20"/>
        </w:rPr>
        <w:t>Discussion Topics</w:t>
      </w:r>
    </w:p>
    <w:p w14:paraId="20C271D8" w14:textId="77777777" w:rsidR="0088006B" w:rsidRPr="000B4063" w:rsidRDefault="0088006B" w:rsidP="0088006B">
      <w:pPr>
        <w:pStyle w:val="ListParagraph"/>
        <w:numPr>
          <w:ilvl w:val="0"/>
          <w:numId w:val="51"/>
        </w:numPr>
        <w:spacing w:after="0"/>
        <w:jc w:val="left"/>
        <w:rPr>
          <w:rFonts w:ascii="Nirmala UI Semilight" w:eastAsia="Nirmala UI Semilight" w:hAnsi="Nirmala UI Semilight" w:cs="Nirmala UI Semilight"/>
          <w:b/>
          <w:bCs/>
          <w:color w:val="000000" w:themeColor="text1"/>
          <w:sz w:val="20"/>
        </w:rPr>
      </w:pPr>
      <w:r w:rsidRPr="000B4063">
        <w:rPr>
          <w:rFonts w:ascii="Nirmala UI Semilight" w:eastAsia="Nirmala UI Semilight" w:hAnsi="Nirmala UI Semilight" w:cs="Nirmala UI Semilight"/>
          <w:b/>
          <w:bCs/>
          <w:color w:val="000000" w:themeColor="text1"/>
          <w:sz w:val="20"/>
        </w:rPr>
        <w:t xml:space="preserve">Agenda Overview </w:t>
      </w:r>
    </w:p>
    <w:p w14:paraId="5E963EB6" w14:textId="77777777" w:rsidR="0088006B" w:rsidRDefault="0088006B" w:rsidP="0088006B">
      <w:pPr>
        <w:pStyle w:val="ListParagraph"/>
        <w:numPr>
          <w:ilvl w:val="0"/>
          <w:numId w:val="51"/>
        </w:numPr>
        <w:spacing w:after="160" w:line="259" w:lineRule="auto"/>
        <w:jc w:val="left"/>
        <w:rPr>
          <w:rFonts w:ascii="Nirmala UI Semilight" w:eastAsia="Nirmala UI Semilight" w:hAnsi="Nirmala UI Semilight" w:cs="Nirmala UI Semilight"/>
          <w:b/>
          <w:bCs/>
          <w:color w:val="000000" w:themeColor="text1"/>
          <w:sz w:val="20"/>
        </w:rPr>
      </w:pPr>
      <w:r w:rsidRPr="000B4063">
        <w:rPr>
          <w:rFonts w:ascii="Nirmala UI Semilight" w:eastAsia="Nirmala UI Semilight" w:hAnsi="Nirmala UI Semilight" w:cs="Nirmala UI Semilight"/>
          <w:b/>
          <w:bCs/>
          <w:color w:val="000000" w:themeColor="text1"/>
          <w:sz w:val="20"/>
        </w:rPr>
        <w:t>COSR Representative Introduction</w:t>
      </w:r>
    </w:p>
    <w:p w14:paraId="44F0C4C0" w14:textId="77777777" w:rsidR="0088006B" w:rsidRPr="00497095" w:rsidRDefault="0088006B" w:rsidP="0088006B">
      <w:pPr>
        <w:pStyle w:val="ListParagraph"/>
        <w:ind w:left="1080"/>
        <w:rPr>
          <w:rFonts w:ascii="Nirmala UI Semilight" w:eastAsia="Nirmala UI Semilight" w:hAnsi="Nirmala UI Semilight" w:cs="Nirmala UI Semilight"/>
          <w:b/>
          <w:bCs/>
          <w:i/>
          <w:iCs/>
          <w:color w:val="000000" w:themeColor="text1"/>
          <w:sz w:val="20"/>
        </w:rPr>
      </w:pPr>
      <w:r w:rsidRPr="00497095">
        <w:rPr>
          <w:rFonts w:ascii="Nirmala UI Semilight" w:eastAsia="Nirmala UI Semilight" w:hAnsi="Nirmala UI Semilight" w:cs="Nirmala UI Semilight"/>
          <w:i/>
          <w:iCs/>
          <w:color w:val="000000" w:themeColor="text1"/>
          <w:sz w:val="20"/>
        </w:rPr>
        <w:t>Chris Parker is the Director of Utah’s Utilities and is the Vice Chair of the Community of State Representatives (COSR)</w:t>
      </w:r>
      <w:r>
        <w:rPr>
          <w:rFonts w:ascii="Nirmala UI Semilight" w:eastAsia="Nirmala UI Semilight" w:hAnsi="Nirmala UI Semilight" w:cs="Nirmala UI Semilight"/>
          <w:i/>
          <w:iCs/>
          <w:color w:val="000000" w:themeColor="text1"/>
          <w:sz w:val="20"/>
        </w:rPr>
        <w:t xml:space="preserve">. He is looking forward to working with everyone. </w:t>
      </w:r>
    </w:p>
    <w:p w14:paraId="63B8E485" w14:textId="77777777" w:rsidR="0088006B" w:rsidRDefault="0088006B" w:rsidP="0088006B">
      <w:pPr>
        <w:pStyle w:val="ListParagraph"/>
        <w:numPr>
          <w:ilvl w:val="0"/>
          <w:numId w:val="51"/>
        </w:numPr>
        <w:spacing w:after="160" w:line="259" w:lineRule="auto"/>
        <w:jc w:val="left"/>
        <w:rPr>
          <w:rFonts w:ascii="Nirmala UI Semilight" w:eastAsia="Nirmala UI Semilight" w:hAnsi="Nirmala UI Semilight" w:cs="Nirmala UI Semilight"/>
          <w:b/>
          <w:bCs/>
          <w:color w:val="000000" w:themeColor="text1"/>
          <w:sz w:val="20"/>
        </w:rPr>
      </w:pPr>
      <w:r w:rsidRPr="000B4063">
        <w:rPr>
          <w:rFonts w:ascii="Nirmala UI Semilight" w:eastAsia="Nirmala UI Semilight" w:hAnsi="Nirmala UI Semilight" w:cs="Nirmala UI Semilight"/>
          <w:b/>
          <w:bCs/>
          <w:color w:val="000000" w:themeColor="text1"/>
          <w:sz w:val="20"/>
        </w:rPr>
        <w:t>PRC Charter Finalization</w:t>
      </w:r>
    </w:p>
    <w:p w14:paraId="4723BC4D" w14:textId="77777777" w:rsidR="0088006B" w:rsidRPr="00D15C27" w:rsidRDefault="0088006B" w:rsidP="0088006B">
      <w:pPr>
        <w:pStyle w:val="ListParagraph"/>
        <w:ind w:left="1080"/>
        <w:rPr>
          <w:rFonts w:ascii="Nirmala UI Semilight" w:eastAsia="Nirmala UI Semilight" w:hAnsi="Nirmala UI Semilight" w:cs="Nirmala UI Semilight"/>
          <w:i/>
          <w:iCs/>
          <w:color w:val="000000" w:themeColor="text1"/>
          <w:sz w:val="20"/>
        </w:rPr>
      </w:pPr>
      <w:r>
        <w:rPr>
          <w:rFonts w:ascii="Nirmala UI Semilight" w:eastAsia="Nirmala UI Semilight" w:hAnsi="Nirmala UI Semilight" w:cs="Nirmala UI Semilight"/>
          <w:i/>
          <w:iCs/>
          <w:color w:val="000000" w:themeColor="text1"/>
          <w:sz w:val="20"/>
        </w:rPr>
        <w:t xml:space="preserve">The </w:t>
      </w:r>
      <w:r w:rsidRPr="008C6B6D">
        <w:rPr>
          <w:rFonts w:ascii="Nirmala UI Semilight" w:eastAsia="Nirmala UI Semilight" w:hAnsi="Nirmala UI Semilight" w:cs="Nirmala UI Semilight"/>
          <w:i/>
          <w:iCs/>
          <w:color w:val="000000" w:themeColor="text1"/>
          <w:sz w:val="20"/>
        </w:rPr>
        <w:t xml:space="preserve">committee discussed </w:t>
      </w:r>
      <w:r>
        <w:rPr>
          <w:rFonts w:ascii="Nirmala UI Semilight" w:eastAsia="Nirmala UI Semilight" w:hAnsi="Nirmala UI Semilight" w:cs="Nirmala UI Semilight"/>
          <w:i/>
          <w:iCs/>
          <w:color w:val="000000" w:themeColor="text1"/>
          <w:sz w:val="20"/>
        </w:rPr>
        <w:t>the adjustments in the PRC Charter. S</w:t>
      </w:r>
      <w:r w:rsidRPr="008C6B6D">
        <w:rPr>
          <w:rFonts w:ascii="Nirmala UI Semilight" w:eastAsia="Nirmala UI Semilight" w:hAnsi="Nirmala UI Semilight" w:cs="Nirmala UI Semilight"/>
          <w:i/>
          <w:iCs/>
          <w:color w:val="000000" w:themeColor="text1"/>
          <w:sz w:val="20"/>
        </w:rPr>
        <w:t>hifting focus from BPMs to Change Request Form (CRF) considerations, including workplan and proposal development, CRF compilation, prioritization, and board approval processes. The cadence for future meetings and minimum terms were also reviewed. Snohomish moved to approve the charter, seconded by NWEC. The motion passed, finalizing the PRC Charter</w:t>
      </w:r>
      <w:r>
        <w:rPr>
          <w:rFonts w:ascii="Nirmala UI Semilight" w:eastAsia="Nirmala UI Semilight" w:hAnsi="Nirmala UI Semilight" w:cs="Nirmala UI Semilight"/>
          <w:i/>
          <w:iCs/>
          <w:color w:val="000000" w:themeColor="text1"/>
          <w:sz w:val="20"/>
        </w:rPr>
        <w:t>.</w:t>
      </w:r>
    </w:p>
    <w:p w14:paraId="40FBA4B9" w14:textId="77777777" w:rsidR="0088006B" w:rsidRPr="000B4063" w:rsidRDefault="0088006B" w:rsidP="0088006B">
      <w:pPr>
        <w:pStyle w:val="ListParagraph"/>
        <w:numPr>
          <w:ilvl w:val="0"/>
          <w:numId w:val="51"/>
        </w:numPr>
        <w:spacing w:after="160" w:line="259" w:lineRule="auto"/>
        <w:jc w:val="left"/>
        <w:rPr>
          <w:rFonts w:ascii="Nirmala UI Semilight" w:eastAsia="Nirmala UI Semilight" w:hAnsi="Nirmala UI Semilight" w:cs="Nirmala UI Semilight"/>
          <w:b/>
          <w:bCs/>
          <w:color w:val="000000" w:themeColor="text1"/>
          <w:sz w:val="20"/>
        </w:rPr>
      </w:pPr>
      <w:r w:rsidRPr="000B4063">
        <w:rPr>
          <w:rFonts w:ascii="Nirmala UI Semilight" w:eastAsia="Nirmala UI Semilight" w:hAnsi="Nirmala UI Semilight" w:cs="Nirmala UI Semilight"/>
          <w:b/>
          <w:bCs/>
          <w:color w:val="000000" w:themeColor="text1"/>
          <w:sz w:val="20"/>
        </w:rPr>
        <w:t>NTFP Update</w:t>
      </w:r>
    </w:p>
    <w:p w14:paraId="10EB2361" w14:textId="77777777" w:rsidR="0088006B" w:rsidRDefault="0088006B" w:rsidP="0088006B">
      <w:pPr>
        <w:pStyle w:val="ListParagraph"/>
        <w:ind w:left="1080"/>
        <w:rPr>
          <w:rFonts w:ascii="Nirmala UI Semilight" w:eastAsia="Nirmala UI Semilight" w:hAnsi="Nirmala UI Semilight" w:cs="Nirmala UI Semilight"/>
          <w:i/>
          <w:iCs/>
          <w:color w:val="000000" w:themeColor="text1"/>
          <w:sz w:val="20"/>
        </w:rPr>
      </w:pPr>
      <w:r w:rsidRPr="004C63D6">
        <w:rPr>
          <w:rFonts w:ascii="Nirmala UI Semilight" w:eastAsia="Nirmala UI Semilight" w:hAnsi="Nirmala UI Semilight" w:cs="Nirmala UI Semilight"/>
          <w:i/>
          <w:iCs/>
          <w:color w:val="000000" w:themeColor="text1"/>
          <w:sz w:val="20"/>
        </w:rPr>
        <w:t>The meeting focused on two considerations: whether the submitted ideas, along with their proposed solutions, are ready for public and COSR comments, as well as PRC, RAPC, and board review. The focus is on readiness for comment, rather than subjective evaluation of the ideas themselves.</w:t>
      </w:r>
    </w:p>
    <w:p w14:paraId="27B8EF5F" w14:textId="77777777" w:rsidR="0088006B" w:rsidRPr="000B4063" w:rsidRDefault="0088006B" w:rsidP="0088006B">
      <w:pPr>
        <w:pStyle w:val="ListParagraph"/>
        <w:numPr>
          <w:ilvl w:val="0"/>
          <w:numId w:val="53"/>
        </w:numPr>
        <w:spacing w:after="160" w:line="259" w:lineRule="auto"/>
        <w:jc w:val="left"/>
        <w:rPr>
          <w:rFonts w:ascii="Nirmala UI Semilight" w:eastAsia="Nirmala UI Semilight" w:hAnsi="Nirmala UI Semilight" w:cs="Nirmala UI Semilight"/>
          <w:b/>
          <w:bCs/>
          <w:color w:val="000000" w:themeColor="text1"/>
          <w:sz w:val="20"/>
        </w:rPr>
      </w:pPr>
      <w:r w:rsidRPr="000B4063">
        <w:rPr>
          <w:rFonts w:ascii="Nirmala UI Semilight" w:eastAsia="Nirmala UI Semilight" w:hAnsi="Nirmala UI Semilight" w:cs="Nirmala UI Semilight"/>
          <w:b/>
          <w:bCs/>
          <w:color w:val="000000" w:themeColor="text1"/>
          <w:sz w:val="20"/>
        </w:rPr>
        <w:t xml:space="preserve">Consideration of </w:t>
      </w:r>
      <w:hyperlink r:id="rId18">
        <w:r w:rsidRPr="000B4063">
          <w:rPr>
            <w:rStyle w:val="Hyperlink"/>
            <w:rFonts w:ascii="Nirmala UI Semilight" w:eastAsia="Nirmala UI Semilight" w:hAnsi="Nirmala UI Semilight" w:cs="Nirmala UI Semilight"/>
            <w:b/>
            <w:bCs/>
            <w:sz w:val="20"/>
          </w:rPr>
          <w:t>2024-CRF-006</w:t>
        </w:r>
      </w:hyperlink>
      <w:r w:rsidRPr="000B4063">
        <w:rPr>
          <w:rFonts w:ascii="Nirmala UI Semilight" w:eastAsia="Nirmala UI Semilight" w:hAnsi="Nirmala UI Semilight" w:cs="Nirmala UI Semilight"/>
          <w:b/>
          <w:bCs/>
          <w:color w:val="000000" w:themeColor="text1"/>
          <w:sz w:val="20"/>
        </w:rPr>
        <w:t xml:space="preserve"> (aka 2024-NTFP-04) Status</w:t>
      </w:r>
    </w:p>
    <w:p w14:paraId="7CC3CCA6" w14:textId="77777777" w:rsidR="0088006B" w:rsidRPr="000B4063" w:rsidRDefault="0088006B" w:rsidP="0088006B">
      <w:pPr>
        <w:pStyle w:val="ListParagraph"/>
        <w:numPr>
          <w:ilvl w:val="2"/>
          <w:numId w:val="51"/>
        </w:numPr>
        <w:spacing w:after="160" w:line="259" w:lineRule="auto"/>
        <w:jc w:val="left"/>
        <w:rPr>
          <w:rFonts w:ascii="Nirmala UI Semilight" w:eastAsia="Nirmala UI Semilight" w:hAnsi="Nirmala UI Semilight" w:cs="Nirmala UI Semilight"/>
          <w:b/>
          <w:bCs/>
          <w:color w:val="000000" w:themeColor="text1"/>
          <w:sz w:val="20"/>
        </w:rPr>
      </w:pPr>
      <w:r w:rsidRPr="000B4063">
        <w:rPr>
          <w:rFonts w:ascii="Nirmala UI Semilight" w:eastAsia="Nirmala UI Semilight" w:hAnsi="Nirmala UI Semilight" w:cs="Nirmala UI Semilight"/>
          <w:b/>
          <w:bCs/>
          <w:color w:val="000000" w:themeColor="text1"/>
          <w:sz w:val="20"/>
        </w:rPr>
        <w:t xml:space="preserve">Load Transfer and BPM 103 P50 Peak Load Forecast Methodology </w:t>
      </w:r>
    </w:p>
    <w:p w14:paraId="7E8F04E5" w14:textId="77777777" w:rsidR="0088006B" w:rsidRDefault="0088006B" w:rsidP="0088006B">
      <w:pPr>
        <w:pStyle w:val="ListParagraph"/>
        <w:ind w:left="1800"/>
        <w:rPr>
          <w:rFonts w:ascii="Nirmala UI Semilight" w:eastAsia="Nirmala UI Semilight" w:hAnsi="Nirmala UI Semilight" w:cs="Nirmala UI Semilight"/>
          <w:i/>
          <w:iCs/>
          <w:color w:val="000000" w:themeColor="text1"/>
          <w:sz w:val="20"/>
        </w:rPr>
      </w:pPr>
    </w:p>
    <w:p w14:paraId="4FBBCA7D" w14:textId="77777777" w:rsidR="0088006B" w:rsidRDefault="0088006B" w:rsidP="0088006B">
      <w:pPr>
        <w:pStyle w:val="ListParagraph"/>
        <w:ind w:left="2340"/>
        <w:rPr>
          <w:rFonts w:ascii="Nirmala UI Semilight" w:eastAsia="Nirmala UI Semilight" w:hAnsi="Nirmala UI Semilight" w:cs="Nirmala UI Semilight"/>
          <w:i/>
          <w:iCs/>
          <w:color w:val="000000" w:themeColor="text1"/>
          <w:sz w:val="20"/>
        </w:rPr>
      </w:pPr>
      <w:r w:rsidRPr="0041153F">
        <w:rPr>
          <w:rFonts w:ascii="Nirmala UI Semilight" w:eastAsia="Nirmala UI Semilight" w:hAnsi="Nirmala UI Semilight" w:cs="Nirmala UI Semilight"/>
          <w:i/>
          <w:iCs/>
          <w:color w:val="000000" w:themeColor="text1"/>
          <w:sz w:val="20"/>
          <w:u w:val="single"/>
        </w:rPr>
        <w:lastRenderedPageBreak/>
        <w:t>The Lead Sponsor</w:t>
      </w:r>
      <w:r w:rsidRPr="0041153F">
        <w:rPr>
          <w:rFonts w:ascii="Nirmala UI Semilight" w:eastAsia="Nirmala UI Semilight" w:hAnsi="Nirmala UI Semilight" w:cs="Nirmala UI Semilight"/>
          <w:i/>
          <w:iCs/>
          <w:color w:val="000000" w:themeColor="text1"/>
          <w:sz w:val="20"/>
        </w:rPr>
        <w:t xml:space="preserve">: Garrison Marr </w:t>
      </w:r>
      <w:r>
        <w:rPr>
          <w:rFonts w:ascii="Nirmala UI Semilight" w:eastAsia="Nirmala UI Semilight" w:hAnsi="Nirmala UI Semilight" w:cs="Nirmala UI Semilight"/>
          <w:i/>
          <w:iCs/>
          <w:color w:val="000000" w:themeColor="text1"/>
          <w:sz w:val="20"/>
        </w:rPr>
        <w:t>(</w:t>
      </w:r>
      <w:r w:rsidRPr="0041153F">
        <w:rPr>
          <w:rFonts w:ascii="Nirmala UI Semilight" w:eastAsia="Nirmala UI Semilight" w:hAnsi="Nirmala UI Semilight" w:cs="Nirmala UI Semilight"/>
          <w:i/>
          <w:iCs/>
          <w:color w:val="000000" w:themeColor="text1"/>
          <w:sz w:val="20"/>
        </w:rPr>
        <w:t>Snohomish County PUD</w:t>
      </w:r>
      <w:r>
        <w:rPr>
          <w:rFonts w:ascii="Nirmala UI Semilight" w:eastAsia="Nirmala UI Semilight" w:hAnsi="Nirmala UI Semilight" w:cs="Nirmala UI Semilight"/>
          <w:i/>
          <w:iCs/>
          <w:color w:val="000000" w:themeColor="text1"/>
          <w:sz w:val="20"/>
        </w:rPr>
        <w:t>)</w:t>
      </w:r>
    </w:p>
    <w:p w14:paraId="7253FCA4" w14:textId="77777777" w:rsidR="0088006B" w:rsidRDefault="0088006B" w:rsidP="0088006B">
      <w:pPr>
        <w:pStyle w:val="ListParagraph"/>
        <w:ind w:left="2340"/>
        <w:rPr>
          <w:rFonts w:ascii="Nirmala UI Semilight" w:eastAsia="Nirmala UI Semilight" w:hAnsi="Nirmala UI Semilight" w:cs="Nirmala UI Semilight"/>
          <w:i/>
          <w:iCs/>
          <w:color w:val="000000" w:themeColor="text1"/>
          <w:sz w:val="20"/>
        </w:rPr>
      </w:pPr>
      <w:r w:rsidRPr="0041153F">
        <w:rPr>
          <w:rFonts w:ascii="Nirmala UI Semilight" w:eastAsia="Nirmala UI Semilight" w:hAnsi="Nirmala UI Semilight" w:cs="Nirmala UI Semilight"/>
          <w:i/>
          <w:iCs/>
          <w:color w:val="000000" w:themeColor="text1"/>
          <w:sz w:val="20"/>
          <w:u w:val="single"/>
        </w:rPr>
        <w:t>Co-sponsors</w:t>
      </w:r>
      <w:r w:rsidRPr="0041153F">
        <w:rPr>
          <w:rFonts w:ascii="Nirmala UI Semilight" w:eastAsia="Nirmala UI Semilight" w:hAnsi="Nirmala UI Semilight" w:cs="Nirmala UI Semilight"/>
          <w:i/>
          <w:iCs/>
          <w:color w:val="000000" w:themeColor="text1"/>
          <w:sz w:val="20"/>
        </w:rPr>
        <w:t>: BPA and TEA</w:t>
      </w:r>
    </w:p>
    <w:p w14:paraId="1B101A9D" w14:textId="77777777" w:rsidR="0088006B" w:rsidRPr="0041153F" w:rsidRDefault="0088006B" w:rsidP="0088006B">
      <w:pPr>
        <w:pStyle w:val="ListParagraph"/>
        <w:ind w:left="1980"/>
        <w:rPr>
          <w:rFonts w:ascii="Nirmala UI Semilight" w:eastAsia="Nirmala UI Semilight" w:hAnsi="Nirmala UI Semilight" w:cs="Nirmala UI Semilight"/>
          <w:i/>
          <w:iCs/>
          <w:color w:val="000000" w:themeColor="text1"/>
          <w:sz w:val="20"/>
        </w:rPr>
      </w:pPr>
    </w:p>
    <w:p w14:paraId="53D9B667" w14:textId="77777777" w:rsidR="0088006B" w:rsidRPr="00111E32" w:rsidRDefault="0088006B" w:rsidP="0088006B">
      <w:pPr>
        <w:pStyle w:val="ListParagraph"/>
        <w:ind w:left="2340"/>
        <w:rPr>
          <w:rFonts w:ascii="Nirmala UI Semilight" w:eastAsia="Nirmala UI Semilight" w:hAnsi="Nirmala UI Semilight" w:cs="Nirmala UI Semilight"/>
          <w:i/>
          <w:iCs/>
          <w:color w:val="000000" w:themeColor="text1"/>
          <w:sz w:val="20"/>
        </w:rPr>
      </w:pPr>
      <w:r w:rsidRPr="00CD723D">
        <w:rPr>
          <w:rFonts w:ascii="Nirmala UI Semilight" w:eastAsia="Nirmala UI Semilight" w:hAnsi="Nirmala UI Semilight" w:cs="Nirmala UI Semilight"/>
          <w:i/>
          <w:iCs/>
          <w:color w:val="000000" w:themeColor="text1"/>
          <w:sz w:val="20"/>
        </w:rPr>
        <w:t>The proposal addresses the need for a revised load forecast methodology to better reflect forward-looking load responsibilities, particularly with changes to BPA power products in 2025. The current methodology is based on historical data, but the update seeks to align with future load share responsibilities. It allows for the addition or removal of load, improving accuracy in forecasting.</w:t>
      </w:r>
      <w:r>
        <w:rPr>
          <w:rFonts w:ascii="Nirmala UI Semilight" w:eastAsia="Nirmala UI Semilight" w:hAnsi="Nirmala UI Semilight" w:cs="Nirmala UI Semilight"/>
          <w:i/>
          <w:iCs/>
          <w:color w:val="000000" w:themeColor="text1"/>
          <w:sz w:val="20"/>
        </w:rPr>
        <w:t xml:space="preserve"> The</w:t>
      </w:r>
      <w:r w:rsidRPr="00111E32">
        <w:rPr>
          <w:rFonts w:ascii="Nirmala UI Semilight" w:eastAsia="Nirmala UI Semilight" w:hAnsi="Nirmala UI Semilight" w:cs="Nirmala UI Semilight"/>
          <w:i/>
          <w:iCs/>
          <w:color w:val="000000" w:themeColor="text1"/>
          <w:sz w:val="20"/>
        </w:rPr>
        <w:t xml:space="preserve"> proposal would fix the BPM 103 methodology to accommodate load transfers and new loads.</w:t>
      </w:r>
    </w:p>
    <w:p w14:paraId="62375E30" w14:textId="77777777" w:rsidR="0088006B" w:rsidRPr="00CD723D" w:rsidRDefault="0088006B" w:rsidP="0088006B">
      <w:pPr>
        <w:pStyle w:val="ListParagraph"/>
        <w:ind w:left="2340"/>
        <w:rPr>
          <w:rFonts w:ascii="Nirmala UI Semilight" w:eastAsia="Nirmala UI Semilight" w:hAnsi="Nirmala UI Semilight" w:cs="Nirmala UI Semilight"/>
          <w:i/>
          <w:iCs/>
          <w:color w:val="000000" w:themeColor="text1"/>
          <w:sz w:val="20"/>
        </w:rPr>
      </w:pPr>
    </w:p>
    <w:p w14:paraId="0125504D" w14:textId="77777777" w:rsidR="0088006B" w:rsidRDefault="0088006B" w:rsidP="0088006B">
      <w:pPr>
        <w:pStyle w:val="ListParagraph"/>
        <w:ind w:left="2340"/>
        <w:rPr>
          <w:rFonts w:ascii="Nirmala UI Semilight" w:eastAsia="Nirmala UI Semilight" w:hAnsi="Nirmala UI Semilight" w:cs="Nirmala UI Semilight"/>
          <w:i/>
          <w:iCs/>
          <w:color w:val="000000" w:themeColor="text1"/>
          <w:sz w:val="20"/>
        </w:rPr>
      </w:pPr>
      <w:r w:rsidRPr="00CD723D">
        <w:rPr>
          <w:rFonts w:ascii="Nirmala UI Semilight" w:eastAsia="Nirmala UI Semilight" w:hAnsi="Nirmala UI Semilight" w:cs="Nirmala UI Semilight"/>
          <w:i/>
          <w:iCs/>
          <w:color w:val="000000" w:themeColor="text1"/>
          <w:sz w:val="20"/>
          <w:u w:val="single"/>
        </w:rPr>
        <w:t>Outcome</w:t>
      </w:r>
      <w:r w:rsidRPr="00CD723D">
        <w:rPr>
          <w:rFonts w:ascii="Nirmala UI Semilight" w:eastAsia="Nirmala UI Semilight" w:hAnsi="Nirmala UI Semilight" w:cs="Nirmala UI Semilight"/>
          <w:i/>
          <w:iCs/>
          <w:color w:val="000000" w:themeColor="text1"/>
          <w:sz w:val="20"/>
        </w:rPr>
        <w:t>: SRP moved to advance 2024-CRF-006 through the NTFP process for comment. Powerex seconded. The motion passed, and the proposal will move to comment.</w:t>
      </w:r>
    </w:p>
    <w:p w14:paraId="0F864CED" w14:textId="77777777" w:rsidR="0088006B" w:rsidRPr="00C44CE2" w:rsidRDefault="0088006B" w:rsidP="0088006B">
      <w:pPr>
        <w:pStyle w:val="ListParagraph"/>
        <w:ind w:left="1800"/>
        <w:rPr>
          <w:rFonts w:ascii="Nirmala UI Semilight" w:eastAsia="Nirmala UI Semilight" w:hAnsi="Nirmala UI Semilight" w:cs="Nirmala UI Semilight"/>
          <w:color w:val="000000" w:themeColor="text1"/>
          <w:sz w:val="20"/>
        </w:rPr>
      </w:pPr>
    </w:p>
    <w:p w14:paraId="2E41E75B" w14:textId="77777777" w:rsidR="0088006B" w:rsidRPr="000B4063" w:rsidRDefault="0088006B" w:rsidP="0088006B">
      <w:pPr>
        <w:pStyle w:val="ListParagraph"/>
        <w:numPr>
          <w:ilvl w:val="1"/>
          <w:numId w:val="51"/>
        </w:numPr>
        <w:spacing w:after="160" w:line="259" w:lineRule="auto"/>
        <w:jc w:val="left"/>
        <w:rPr>
          <w:rFonts w:ascii="Nirmala UI Semilight" w:eastAsia="Nirmala UI Semilight" w:hAnsi="Nirmala UI Semilight" w:cs="Nirmala UI Semilight"/>
          <w:b/>
          <w:bCs/>
          <w:color w:val="000000" w:themeColor="text1"/>
          <w:sz w:val="20"/>
        </w:rPr>
      </w:pPr>
      <w:r w:rsidRPr="000B4063">
        <w:rPr>
          <w:rFonts w:ascii="Nirmala UI Semilight" w:eastAsia="Nirmala UI Semilight" w:hAnsi="Nirmala UI Semilight" w:cs="Nirmala UI Semilight"/>
          <w:b/>
          <w:bCs/>
          <w:color w:val="000000" w:themeColor="text1"/>
          <w:sz w:val="20"/>
        </w:rPr>
        <w:t xml:space="preserve">Consideration of </w:t>
      </w:r>
      <w:hyperlink r:id="rId19">
        <w:r w:rsidRPr="000B4063">
          <w:rPr>
            <w:rStyle w:val="Hyperlink"/>
            <w:rFonts w:ascii="Nirmala UI Semilight" w:eastAsia="Nirmala UI Semilight" w:hAnsi="Nirmala UI Semilight" w:cs="Nirmala UI Semilight"/>
            <w:b/>
            <w:bCs/>
            <w:sz w:val="20"/>
          </w:rPr>
          <w:t>2024-CRF-009</w:t>
        </w:r>
      </w:hyperlink>
      <w:r w:rsidRPr="000B4063">
        <w:rPr>
          <w:rFonts w:ascii="Nirmala UI Semilight" w:eastAsia="Nirmala UI Semilight" w:hAnsi="Nirmala UI Semilight" w:cs="Nirmala UI Semilight"/>
          <w:b/>
          <w:bCs/>
          <w:color w:val="000000" w:themeColor="text1"/>
          <w:sz w:val="20"/>
        </w:rPr>
        <w:t xml:space="preserve"> Status</w:t>
      </w:r>
    </w:p>
    <w:p w14:paraId="3155696F" w14:textId="77777777" w:rsidR="0088006B" w:rsidRPr="000B4063" w:rsidRDefault="0088006B" w:rsidP="0088006B">
      <w:pPr>
        <w:pStyle w:val="ListParagraph"/>
        <w:numPr>
          <w:ilvl w:val="2"/>
          <w:numId w:val="51"/>
        </w:numPr>
        <w:spacing w:after="160" w:line="259" w:lineRule="auto"/>
        <w:jc w:val="left"/>
        <w:rPr>
          <w:rFonts w:ascii="Nirmala UI Semilight" w:eastAsia="Nirmala UI Semilight" w:hAnsi="Nirmala UI Semilight" w:cs="Nirmala UI Semilight"/>
          <w:b/>
          <w:bCs/>
          <w:color w:val="000000" w:themeColor="text1"/>
          <w:sz w:val="20"/>
        </w:rPr>
      </w:pPr>
      <w:r w:rsidRPr="000B4063">
        <w:rPr>
          <w:rFonts w:ascii="Nirmala UI Semilight" w:eastAsia="Nirmala UI Semilight" w:hAnsi="Nirmala UI Semilight" w:cs="Nirmala UI Semilight"/>
          <w:b/>
          <w:bCs/>
          <w:color w:val="000000" w:themeColor="text1"/>
          <w:sz w:val="20"/>
        </w:rPr>
        <w:t>Definition of Generation and Transmission Facilities in BPM 209</w:t>
      </w:r>
    </w:p>
    <w:p w14:paraId="34BAA194" w14:textId="77777777" w:rsidR="0088006B" w:rsidRDefault="0088006B" w:rsidP="0088006B">
      <w:pPr>
        <w:pStyle w:val="ListParagraph"/>
        <w:ind w:left="2340"/>
        <w:rPr>
          <w:rFonts w:ascii="Nirmala UI Semilight" w:eastAsia="Nirmala UI Semilight" w:hAnsi="Nirmala UI Semilight" w:cs="Nirmala UI Semilight"/>
          <w:i/>
          <w:iCs/>
          <w:color w:val="000000" w:themeColor="text1"/>
          <w:sz w:val="20"/>
        </w:rPr>
      </w:pPr>
      <w:r w:rsidRPr="008835B5">
        <w:rPr>
          <w:rFonts w:ascii="Nirmala UI Semilight" w:eastAsia="Nirmala UI Semilight" w:hAnsi="Nirmala UI Semilight" w:cs="Nirmala UI Semilight"/>
          <w:i/>
          <w:iCs/>
          <w:color w:val="000000" w:themeColor="text1"/>
          <w:sz w:val="20"/>
          <w:u w:val="single"/>
        </w:rPr>
        <w:t>Lead Sponsor:</w:t>
      </w:r>
      <w:r>
        <w:rPr>
          <w:rFonts w:ascii="Nirmala UI Semilight" w:eastAsia="Nirmala UI Semilight" w:hAnsi="Nirmala UI Semilight" w:cs="Nirmala UI Semilight"/>
          <w:i/>
          <w:iCs/>
          <w:color w:val="000000" w:themeColor="text1"/>
          <w:sz w:val="20"/>
        </w:rPr>
        <w:t xml:space="preserve"> Michael Reynolds (SRP) </w:t>
      </w:r>
    </w:p>
    <w:p w14:paraId="76D56937" w14:textId="77777777" w:rsidR="0088006B" w:rsidRDefault="0088006B" w:rsidP="0088006B">
      <w:pPr>
        <w:pStyle w:val="ListParagraph"/>
        <w:ind w:left="2340"/>
        <w:rPr>
          <w:rFonts w:ascii="Nirmala UI Semilight" w:eastAsia="Nirmala UI Semilight" w:hAnsi="Nirmala UI Semilight" w:cs="Nirmala UI Semilight"/>
          <w:i/>
          <w:iCs/>
          <w:color w:val="000000" w:themeColor="text1"/>
          <w:sz w:val="20"/>
        </w:rPr>
      </w:pPr>
    </w:p>
    <w:p w14:paraId="74325F3F" w14:textId="77777777" w:rsidR="0088006B" w:rsidRDefault="0088006B" w:rsidP="0088006B">
      <w:pPr>
        <w:pStyle w:val="ListParagraph"/>
        <w:ind w:left="2340"/>
        <w:rPr>
          <w:rFonts w:ascii="Nirmala UI Semilight" w:eastAsia="Nirmala UI Semilight" w:hAnsi="Nirmala UI Semilight" w:cs="Nirmala UI Semilight"/>
          <w:i/>
          <w:iCs/>
          <w:color w:val="000000" w:themeColor="text1"/>
          <w:sz w:val="20"/>
        </w:rPr>
      </w:pPr>
      <w:r w:rsidRPr="00D9119A">
        <w:rPr>
          <w:rFonts w:ascii="Nirmala UI Semilight" w:eastAsia="Nirmala UI Semilight" w:hAnsi="Nirmala UI Semilight" w:cs="Nirmala UI Semilight"/>
          <w:i/>
          <w:iCs/>
          <w:color w:val="000000" w:themeColor="text1"/>
          <w:sz w:val="20"/>
        </w:rPr>
        <w:t xml:space="preserve">The discussion focused on two terms in </w:t>
      </w:r>
      <w:r>
        <w:rPr>
          <w:rFonts w:ascii="Nirmala UI Semilight" w:eastAsia="Nirmala UI Semilight" w:hAnsi="Nirmala UI Semilight" w:cs="Nirmala UI Semilight"/>
          <w:i/>
          <w:iCs/>
          <w:color w:val="000000" w:themeColor="text1"/>
          <w:sz w:val="20"/>
        </w:rPr>
        <w:t xml:space="preserve">BPM 209 </w:t>
      </w:r>
      <w:r w:rsidRPr="00D9119A">
        <w:rPr>
          <w:rFonts w:ascii="Nirmala UI Semilight" w:eastAsia="Nirmala UI Semilight" w:hAnsi="Nirmala UI Semilight" w:cs="Nirmala UI Semilight"/>
          <w:i/>
          <w:iCs/>
          <w:color w:val="000000" w:themeColor="text1"/>
          <w:sz w:val="20"/>
        </w:rPr>
        <w:t>Section 7.3: "</w:t>
      </w:r>
      <w:r w:rsidRPr="00075B65">
        <w:rPr>
          <w:rFonts w:ascii="Nirmala UI Semilight" w:eastAsia="Nirmala UI Semilight" w:hAnsi="Nirmala UI Semilight" w:cs="Nirmala UI Semilight"/>
          <w:i/>
          <w:iCs/>
          <w:color w:val="000000" w:themeColor="text1"/>
          <w:sz w:val="20"/>
          <w:u w:val="single"/>
        </w:rPr>
        <w:t>generation facility</w:t>
      </w:r>
      <w:r w:rsidRPr="00D9119A">
        <w:rPr>
          <w:rFonts w:ascii="Nirmala UI Semilight" w:eastAsia="Nirmala UI Semilight" w:hAnsi="Nirmala UI Semilight" w:cs="Nirmala UI Semilight"/>
          <w:i/>
          <w:iCs/>
          <w:color w:val="000000" w:themeColor="text1"/>
          <w:sz w:val="20"/>
        </w:rPr>
        <w:t>" and "</w:t>
      </w:r>
      <w:r w:rsidRPr="00075B65">
        <w:rPr>
          <w:rFonts w:ascii="Nirmala UI Semilight" w:eastAsia="Nirmala UI Semilight" w:hAnsi="Nirmala UI Semilight" w:cs="Nirmala UI Semilight"/>
          <w:i/>
          <w:iCs/>
          <w:color w:val="000000" w:themeColor="text1"/>
          <w:sz w:val="20"/>
          <w:u w:val="single"/>
        </w:rPr>
        <w:t>transmission facility,</w:t>
      </w:r>
      <w:r>
        <w:rPr>
          <w:rFonts w:ascii="Nirmala UI Semilight" w:eastAsia="Nirmala UI Semilight" w:hAnsi="Nirmala UI Semilight" w:cs="Nirmala UI Semilight"/>
          <w:i/>
          <w:iCs/>
          <w:color w:val="000000" w:themeColor="text1"/>
          <w:sz w:val="20"/>
        </w:rPr>
        <w:t xml:space="preserve">” </w:t>
      </w:r>
      <w:r w:rsidRPr="00D9119A">
        <w:rPr>
          <w:rFonts w:ascii="Nirmala UI Semilight" w:eastAsia="Nirmala UI Semilight" w:hAnsi="Nirmala UI Semilight" w:cs="Nirmala UI Semilight"/>
          <w:i/>
          <w:iCs/>
          <w:color w:val="000000" w:themeColor="text1"/>
          <w:sz w:val="20"/>
        </w:rPr>
        <w:t>which may benefit from formal definitions. The concern is that participants could expect automatic approval for a waiver in case of a generation or transmission facility outage or derate. The proposal aims to clarify that waivers would only apply when an outage or derate is relevant to meeting WRAP obligations, rather than being a general exemption. It was suggested that ownership of the asset is less important than whether the participant has the right to use it to meet WRAP obligations.</w:t>
      </w:r>
      <w:r>
        <w:rPr>
          <w:rFonts w:ascii="Nirmala UI Semilight" w:eastAsia="Nirmala UI Semilight" w:hAnsi="Nirmala UI Semilight" w:cs="Nirmala UI Semilight"/>
          <w:i/>
          <w:iCs/>
          <w:color w:val="000000" w:themeColor="text1"/>
          <w:sz w:val="20"/>
        </w:rPr>
        <w:t xml:space="preserve"> </w:t>
      </w:r>
    </w:p>
    <w:p w14:paraId="4B7CEAA6" w14:textId="77777777" w:rsidR="0088006B" w:rsidRDefault="0088006B" w:rsidP="0088006B">
      <w:pPr>
        <w:pStyle w:val="ListParagraph"/>
        <w:ind w:left="2340"/>
        <w:rPr>
          <w:rFonts w:ascii="Nirmala UI Semilight" w:eastAsia="Nirmala UI Semilight" w:hAnsi="Nirmala UI Semilight" w:cs="Nirmala UI Semilight"/>
          <w:i/>
          <w:iCs/>
          <w:color w:val="000000" w:themeColor="text1"/>
          <w:sz w:val="20"/>
        </w:rPr>
      </w:pPr>
    </w:p>
    <w:p w14:paraId="1242B867" w14:textId="77777777" w:rsidR="0088006B" w:rsidRPr="00F02B6E" w:rsidRDefault="0088006B" w:rsidP="0088006B">
      <w:pPr>
        <w:pStyle w:val="ListParagraph"/>
        <w:ind w:left="2340"/>
        <w:rPr>
          <w:rFonts w:ascii="Nirmala UI Semilight" w:eastAsia="Nirmala UI Semilight" w:hAnsi="Nirmala UI Semilight" w:cs="Nirmala UI Semilight"/>
          <w:i/>
          <w:iCs/>
          <w:color w:val="000000" w:themeColor="text1"/>
          <w:sz w:val="20"/>
        </w:rPr>
      </w:pPr>
      <w:r w:rsidRPr="00F02B6E">
        <w:rPr>
          <w:rFonts w:ascii="Nirmala UI Semilight" w:eastAsia="Nirmala UI Semilight" w:hAnsi="Nirmala UI Semilight" w:cs="Nirmala UI Semilight"/>
          <w:i/>
          <w:iCs/>
          <w:color w:val="000000" w:themeColor="text1"/>
          <w:sz w:val="20"/>
        </w:rPr>
        <w:t>The proposal recommends capitalizing "</w:t>
      </w:r>
      <w:r w:rsidRPr="00F02B6E">
        <w:rPr>
          <w:rFonts w:ascii="Nirmala UI Semilight" w:eastAsia="Nirmala UI Semilight" w:hAnsi="Nirmala UI Semilight" w:cs="Nirmala UI Semilight"/>
          <w:i/>
          <w:iCs/>
          <w:color w:val="000000" w:themeColor="text1"/>
          <w:sz w:val="20"/>
          <w:u w:val="single"/>
        </w:rPr>
        <w:t>generation facility</w:t>
      </w:r>
      <w:r w:rsidRPr="00F02B6E">
        <w:rPr>
          <w:rFonts w:ascii="Nirmala UI Semilight" w:eastAsia="Nirmala UI Semilight" w:hAnsi="Nirmala UI Semilight" w:cs="Nirmala UI Semilight"/>
          <w:i/>
          <w:iCs/>
          <w:color w:val="000000" w:themeColor="text1"/>
          <w:sz w:val="20"/>
        </w:rPr>
        <w:t>" and "</w:t>
      </w:r>
      <w:r w:rsidRPr="00F02B6E">
        <w:rPr>
          <w:rFonts w:ascii="Nirmala UI Semilight" w:eastAsia="Nirmala UI Semilight" w:hAnsi="Nirmala UI Semilight" w:cs="Nirmala UI Semilight"/>
          <w:i/>
          <w:iCs/>
          <w:color w:val="000000" w:themeColor="text1"/>
          <w:sz w:val="20"/>
          <w:u w:val="single"/>
        </w:rPr>
        <w:t>transmission facility</w:t>
      </w:r>
      <w:r w:rsidRPr="00F02B6E">
        <w:rPr>
          <w:rFonts w:ascii="Nirmala UI Semilight" w:eastAsia="Nirmala UI Semilight" w:hAnsi="Nirmala UI Semilight" w:cs="Nirmala UI Semilight"/>
          <w:i/>
          <w:iCs/>
          <w:color w:val="000000" w:themeColor="text1"/>
          <w:sz w:val="20"/>
        </w:rPr>
        <w:t xml:space="preserve">" and adding definitions for each. </w:t>
      </w:r>
    </w:p>
    <w:p w14:paraId="24A8EF95" w14:textId="77777777" w:rsidR="0088006B" w:rsidRPr="00D9119A" w:rsidRDefault="0088006B" w:rsidP="0088006B">
      <w:pPr>
        <w:pStyle w:val="ListParagraph"/>
        <w:ind w:left="2340"/>
        <w:rPr>
          <w:rFonts w:ascii="Nirmala UI Semilight" w:eastAsia="Nirmala UI Semilight" w:hAnsi="Nirmala UI Semilight" w:cs="Nirmala UI Semilight"/>
          <w:i/>
          <w:iCs/>
          <w:color w:val="000000" w:themeColor="text1"/>
          <w:sz w:val="20"/>
        </w:rPr>
      </w:pPr>
    </w:p>
    <w:p w14:paraId="7FFBE863" w14:textId="77777777" w:rsidR="0088006B" w:rsidRDefault="0088006B" w:rsidP="0088006B">
      <w:pPr>
        <w:pStyle w:val="ListParagraph"/>
        <w:spacing w:before="240"/>
        <w:ind w:left="2340"/>
        <w:rPr>
          <w:rFonts w:ascii="Nirmala UI Semilight" w:eastAsia="Nirmala UI Semilight" w:hAnsi="Nirmala UI Semilight" w:cs="Nirmala UI Semilight"/>
          <w:i/>
          <w:iCs/>
          <w:color w:val="000000" w:themeColor="text1"/>
          <w:sz w:val="20"/>
        </w:rPr>
      </w:pPr>
      <w:r w:rsidRPr="008F1072">
        <w:rPr>
          <w:rFonts w:ascii="Nirmala UI Semilight" w:eastAsia="Nirmala UI Semilight" w:hAnsi="Nirmala UI Semilight" w:cs="Nirmala UI Semilight"/>
          <w:i/>
          <w:iCs/>
          <w:color w:val="000000" w:themeColor="text1"/>
          <w:sz w:val="20"/>
          <w:u w:val="single"/>
        </w:rPr>
        <w:t>Outcome</w:t>
      </w:r>
      <w:r w:rsidRPr="00D9119A">
        <w:rPr>
          <w:rFonts w:ascii="Nirmala UI Semilight" w:eastAsia="Nirmala UI Semilight" w:hAnsi="Nirmala UI Semilight" w:cs="Nirmala UI Semilight"/>
          <w:i/>
          <w:iCs/>
          <w:color w:val="000000" w:themeColor="text1"/>
          <w:sz w:val="20"/>
        </w:rPr>
        <w:t>: Tacoma moved to approve the proposal for comment, seconded by Calpine. The motion passed with no opposition.</w:t>
      </w:r>
    </w:p>
    <w:p w14:paraId="7E0F262E" w14:textId="77777777" w:rsidR="0088006B" w:rsidRPr="00F02B6E" w:rsidRDefault="0088006B" w:rsidP="0088006B">
      <w:pPr>
        <w:pStyle w:val="ListParagraph"/>
        <w:spacing w:before="240"/>
        <w:ind w:left="2340"/>
        <w:rPr>
          <w:rFonts w:ascii="Nirmala UI Semilight" w:eastAsia="Nirmala UI Semilight" w:hAnsi="Nirmala UI Semilight" w:cs="Nirmala UI Semilight"/>
          <w:i/>
          <w:iCs/>
          <w:color w:val="000000" w:themeColor="text1"/>
          <w:sz w:val="20"/>
        </w:rPr>
      </w:pPr>
    </w:p>
    <w:p w14:paraId="2638BB9B" w14:textId="77777777" w:rsidR="0088006B" w:rsidRPr="00F02B6E" w:rsidRDefault="0088006B" w:rsidP="0088006B">
      <w:pPr>
        <w:pStyle w:val="ListParagraph"/>
        <w:numPr>
          <w:ilvl w:val="0"/>
          <w:numId w:val="51"/>
        </w:numPr>
        <w:spacing w:before="240" w:after="0" w:line="259" w:lineRule="auto"/>
        <w:jc w:val="left"/>
        <w:rPr>
          <w:rFonts w:ascii="Nirmala UI Semilight" w:eastAsia="Nirmala UI Semilight" w:hAnsi="Nirmala UI Semilight" w:cs="Nirmala UI Semilight"/>
          <w:b/>
          <w:bCs/>
          <w:color w:val="000000" w:themeColor="text1"/>
          <w:sz w:val="20"/>
        </w:rPr>
      </w:pPr>
      <w:r w:rsidRPr="00F02B6E">
        <w:rPr>
          <w:rFonts w:ascii="Nirmala UI Semilight" w:eastAsia="Nirmala UI Semilight" w:hAnsi="Nirmala UI Semilight" w:cs="Nirmala UI Semilight"/>
          <w:b/>
          <w:bCs/>
          <w:color w:val="000000" w:themeColor="text1"/>
          <w:sz w:val="20"/>
        </w:rPr>
        <w:t>Change Control Process</w:t>
      </w:r>
    </w:p>
    <w:p w14:paraId="6981FDC0" w14:textId="77777777" w:rsidR="0088006B" w:rsidRDefault="0088006B" w:rsidP="0088006B">
      <w:pPr>
        <w:pStyle w:val="ListParagraph"/>
        <w:spacing w:before="240"/>
        <w:ind w:left="1080"/>
        <w:rPr>
          <w:rFonts w:ascii="Nirmala UI Semilight" w:eastAsia="Nirmala UI Semilight" w:hAnsi="Nirmala UI Semilight" w:cs="Nirmala UI Semilight"/>
          <w:i/>
          <w:iCs/>
          <w:color w:val="000000" w:themeColor="text1"/>
          <w:sz w:val="20"/>
        </w:rPr>
      </w:pPr>
      <w:r w:rsidRPr="000B4063">
        <w:rPr>
          <w:rFonts w:ascii="Nirmala UI Semilight" w:eastAsia="Nirmala UI Semilight" w:hAnsi="Nirmala UI Semilight" w:cs="Nirmala UI Semilight"/>
          <w:i/>
          <w:iCs/>
          <w:color w:val="000000" w:themeColor="text1"/>
          <w:sz w:val="20"/>
        </w:rPr>
        <w:t>Please reference</w:t>
      </w:r>
      <w:r>
        <w:rPr>
          <w:rFonts w:ascii="Nirmala UI Semilight" w:eastAsia="Nirmala UI Semilight" w:hAnsi="Nirmala UI Semilight" w:cs="Nirmala UI Semilight"/>
          <w:i/>
          <w:iCs/>
          <w:color w:val="000000" w:themeColor="text1"/>
          <w:sz w:val="20"/>
        </w:rPr>
        <w:t xml:space="preserve"> PowerPoint “PRC Concept Prioritization &amp; LOE.”  The PowerPoint will act as a reference for the change Control Process moving forward. </w:t>
      </w:r>
    </w:p>
    <w:p w14:paraId="3AF0A3CA" w14:textId="77777777" w:rsidR="0088006B" w:rsidRPr="000B4063" w:rsidRDefault="0088006B" w:rsidP="0088006B">
      <w:pPr>
        <w:pStyle w:val="ListParagraph"/>
        <w:spacing w:before="240"/>
        <w:ind w:left="1080"/>
        <w:rPr>
          <w:rFonts w:ascii="Nirmala UI Semilight" w:eastAsia="Nirmala UI Semilight" w:hAnsi="Nirmala UI Semilight" w:cs="Nirmala UI Semilight"/>
          <w:i/>
          <w:iCs/>
          <w:color w:val="000000" w:themeColor="text1"/>
          <w:sz w:val="20"/>
        </w:rPr>
      </w:pPr>
    </w:p>
    <w:p w14:paraId="3CC84B95" w14:textId="77777777" w:rsidR="0088006B" w:rsidRPr="000B4063" w:rsidRDefault="0088006B" w:rsidP="0088006B">
      <w:pPr>
        <w:pStyle w:val="ListParagraph"/>
        <w:numPr>
          <w:ilvl w:val="1"/>
          <w:numId w:val="51"/>
        </w:numPr>
        <w:spacing w:after="160" w:line="259" w:lineRule="auto"/>
        <w:jc w:val="left"/>
        <w:rPr>
          <w:rFonts w:ascii="Nirmala UI Semilight" w:eastAsia="Nirmala UI Semilight" w:hAnsi="Nirmala UI Semilight" w:cs="Nirmala UI Semilight"/>
          <w:b/>
          <w:bCs/>
          <w:color w:val="000000" w:themeColor="text1"/>
          <w:sz w:val="20"/>
        </w:rPr>
      </w:pPr>
      <w:r w:rsidRPr="000B4063">
        <w:rPr>
          <w:rFonts w:ascii="Nirmala UI Semilight" w:eastAsia="Nirmala UI Semilight" w:hAnsi="Nirmala UI Semilight" w:cs="Nirmala UI Semilight"/>
          <w:b/>
          <w:bCs/>
          <w:color w:val="000000" w:themeColor="text1"/>
          <w:sz w:val="20"/>
        </w:rPr>
        <w:t>Draft Methodologies</w:t>
      </w:r>
    </w:p>
    <w:p w14:paraId="6B086CBE" w14:textId="77777777" w:rsidR="0088006B" w:rsidRPr="000B4063" w:rsidRDefault="0088006B" w:rsidP="0088006B">
      <w:pPr>
        <w:pStyle w:val="ListParagraph"/>
        <w:numPr>
          <w:ilvl w:val="2"/>
          <w:numId w:val="51"/>
        </w:numPr>
        <w:spacing w:after="160" w:line="259" w:lineRule="auto"/>
        <w:jc w:val="left"/>
        <w:rPr>
          <w:rFonts w:ascii="Nirmala UI Semilight" w:eastAsia="Nirmala UI Semilight" w:hAnsi="Nirmala UI Semilight" w:cs="Nirmala UI Semilight"/>
          <w:b/>
          <w:bCs/>
          <w:color w:val="000000" w:themeColor="text1"/>
          <w:sz w:val="20"/>
        </w:rPr>
      </w:pPr>
      <w:r w:rsidRPr="000B4063">
        <w:rPr>
          <w:rFonts w:ascii="Nirmala UI Semilight" w:eastAsia="Nirmala UI Semilight" w:hAnsi="Nirmala UI Semilight" w:cs="Nirmala UI Semilight"/>
          <w:b/>
          <w:bCs/>
          <w:color w:val="000000" w:themeColor="text1"/>
          <w:sz w:val="20"/>
        </w:rPr>
        <w:t>High-level PA Level of Effort Review (Pre-PRC Prioritization)</w:t>
      </w:r>
    </w:p>
    <w:p w14:paraId="3D409827" w14:textId="77777777" w:rsidR="0088006B" w:rsidRPr="000F552C" w:rsidRDefault="0088006B" w:rsidP="0088006B">
      <w:pPr>
        <w:pStyle w:val="ListParagraph"/>
        <w:ind w:left="2880"/>
        <w:rPr>
          <w:rFonts w:ascii="Nirmala UI Semilight" w:eastAsia="Nirmala UI Semilight" w:hAnsi="Nirmala UI Semilight" w:cs="Nirmala UI Semilight"/>
          <w:i/>
          <w:iCs/>
          <w:color w:val="000000" w:themeColor="text1"/>
          <w:sz w:val="20"/>
        </w:rPr>
      </w:pPr>
      <w:r>
        <w:rPr>
          <w:rFonts w:ascii="Nirmala UI Semilight" w:eastAsia="Nirmala UI Semilight" w:hAnsi="Nirmala UI Semilight" w:cs="Nirmala UI Semilight"/>
          <w:i/>
          <w:iCs/>
          <w:color w:val="000000" w:themeColor="text1"/>
          <w:sz w:val="20"/>
        </w:rPr>
        <w:t xml:space="preserve">See slide 4, 5, 6 in PowerPoint “PRC Concept Prioritization &amp; LOE”  </w:t>
      </w:r>
    </w:p>
    <w:p w14:paraId="7219F5FE" w14:textId="77777777" w:rsidR="0088006B" w:rsidRPr="000B4063" w:rsidRDefault="0088006B" w:rsidP="0088006B">
      <w:pPr>
        <w:pStyle w:val="ListParagraph"/>
        <w:numPr>
          <w:ilvl w:val="2"/>
          <w:numId w:val="51"/>
        </w:numPr>
        <w:spacing w:after="160" w:line="259" w:lineRule="auto"/>
        <w:jc w:val="left"/>
        <w:rPr>
          <w:rFonts w:ascii="Nirmala UI Semilight" w:eastAsia="Nirmala UI Semilight" w:hAnsi="Nirmala UI Semilight" w:cs="Nirmala UI Semilight"/>
          <w:b/>
          <w:bCs/>
          <w:color w:val="000000" w:themeColor="text1"/>
          <w:sz w:val="20"/>
        </w:rPr>
      </w:pPr>
      <w:r w:rsidRPr="000B4063">
        <w:rPr>
          <w:rFonts w:ascii="Nirmala UI Semilight" w:eastAsia="Nirmala UI Semilight" w:hAnsi="Nirmala UI Semilight" w:cs="Nirmala UI Semilight"/>
          <w:b/>
          <w:bCs/>
          <w:color w:val="000000" w:themeColor="text1"/>
          <w:sz w:val="20"/>
        </w:rPr>
        <w:t>PRC Prioritization of Concepts for Workplan consideration</w:t>
      </w:r>
    </w:p>
    <w:p w14:paraId="68FF0BB4" w14:textId="77777777" w:rsidR="0088006B" w:rsidRPr="00A07DCF" w:rsidRDefault="0088006B" w:rsidP="0088006B">
      <w:pPr>
        <w:pStyle w:val="ListParagraph"/>
        <w:ind w:left="2160" w:firstLine="720"/>
        <w:rPr>
          <w:rFonts w:ascii="Nirmala UI Semilight" w:eastAsia="Nirmala UI Semilight" w:hAnsi="Nirmala UI Semilight" w:cs="Nirmala UI Semilight"/>
          <w:i/>
          <w:iCs/>
          <w:color w:val="000000" w:themeColor="text1"/>
          <w:sz w:val="20"/>
        </w:rPr>
      </w:pPr>
      <w:r>
        <w:rPr>
          <w:rFonts w:ascii="Nirmala UI Semilight" w:eastAsia="Nirmala UI Semilight" w:hAnsi="Nirmala UI Semilight" w:cs="Nirmala UI Semilight"/>
          <w:i/>
          <w:iCs/>
          <w:color w:val="000000" w:themeColor="text1"/>
          <w:sz w:val="20"/>
        </w:rPr>
        <w:t xml:space="preserve">See slide 7 in PowerPoint “PRC Concept Prioritization &amp; LOE”  </w:t>
      </w:r>
    </w:p>
    <w:p w14:paraId="1B70F11A" w14:textId="77777777" w:rsidR="0088006B" w:rsidRPr="00F55124" w:rsidRDefault="0088006B" w:rsidP="0088006B">
      <w:pPr>
        <w:pStyle w:val="ListParagraph"/>
        <w:numPr>
          <w:ilvl w:val="2"/>
          <w:numId w:val="51"/>
        </w:numPr>
        <w:spacing w:after="160" w:line="259" w:lineRule="auto"/>
        <w:jc w:val="left"/>
        <w:rPr>
          <w:rFonts w:ascii="Nirmala UI Semilight" w:eastAsia="Nirmala UI Semilight" w:hAnsi="Nirmala UI Semilight" w:cs="Nirmala UI Semilight"/>
          <w:b/>
          <w:bCs/>
          <w:color w:val="000000" w:themeColor="text1"/>
          <w:sz w:val="20"/>
        </w:rPr>
      </w:pPr>
      <w:r w:rsidRPr="00F55124">
        <w:rPr>
          <w:rFonts w:ascii="Nirmala UI Semilight" w:eastAsia="Nirmala UI Semilight" w:hAnsi="Nirmala UI Semilight" w:cs="Nirmala UI Semilight"/>
          <w:b/>
          <w:bCs/>
          <w:color w:val="000000" w:themeColor="text1"/>
          <w:sz w:val="20"/>
        </w:rPr>
        <w:t>Detailed PA/PO Level of Effort Review (Post-PRC Prioritization)</w:t>
      </w:r>
    </w:p>
    <w:p w14:paraId="56DE3DD2" w14:textId="77777777" w:rsidR="0088006B" w:rsidRDefault="0088006B" w:rsidP="0088006B">
      <w:pPr>
        <w:pStyle w:val="ListParagraph"/>
        <w:ind w:left="2520" w:firstLine="360"/>
        <w:rPr>
          <w:rFonts w:ascii="Nirmala UI Semilight" w:eastAsia="Nirmala UI Semilight" w:hAnsi="Nirmala UI Semilight" w:cs="Nirmala UI Semilight"/>
          <w:i/>
          <w:iCs/>
          <w:color w:val="000000" w:themeColor="text1"/>
          <w:sz w:val="20"/>
        </w:rPr>
      </w:pPr>
      <w:r w:rsidRPr="00E52129">
        <w:rPr>
          <w:rFonts w:ascii="Nirmala UI Semilight" w:eastAsia="Nirmala UI Semilight" w:hAnsi="Nirmala UI Semilight" w:cs="Nirmala UI Semilight"/>
          <w:i/>
          <w:iCs/>
          <w:color w:val="000000" w:themeColor="text1"/>
          <w:sz w:val="20"/>
        </w:rPr>
        <w:t>See slide 8</w:t>
      </w:r>
      <w:r>
        <w:rPr>
          <w:rFonts w:ascii="Nirmala UI Semilight" w:eastAsia="Nirmala UI Semilight" w:hAnsi="Nirmala UI Semilight" w:cs="Nirmala UI Semilight"/>
          <w:color w:val="000000" w:themeColor="text1"/>
          <w:sz w:val="20"/>
        </w:rPr>
        <w:t xml:space="preserve"> </w:t>
      </w:r>
      <w:r>
        <w:rPr>
          <w:rFonts w:ascii="Nirmala UI Semilight" w:eastAsia="Nirmala UI Semilight" w:hAnsi="Nirmala UI Semilight" w:cs="Nirmala UI Semilight"/>
          <w:i/>
          <w:iCs/>
          <w:color w:val="000000" w:themeColor="text1"/>
          <w:sz w:val="20"/>
        </w:rPr>
        <w:t xml:space="preserve">in PowerPoint “PRC Concept Prioritization &amp; LOE”  </w:t>
      </w:r>
    </w:p>
    <w:p w14:paraId="26F69727" w14:textId="77777777" w:rsidR="0088006B" w:rsidRPr="008B5CED" w:rsidRDefault="0088006B" w:rsidP="0088006B">
      <w:pPr>
        <w:pStyle w:val="ListParagraph"/>
        <w:ind w:left="2520" w:firstLine="360"/>
        <w:rPr>
          <w:rFonts w:ascii="Nirmala UI Semilight" w:eastAsia="Nirmala UI Semilight" w:hAnsi="Nirmala UI Semilight" w:cs="Nirmala UI Semilight"/>
          <w:color w:val="000000" w:themeColor="text1"/>
          <w:sz w:val="20"/>
        </w:rPr>
      </w:pPr>
    </w:p>
    <w:p w14:paraId="5D11824A" w14:textId="77777777" w:rsidR="0088006B" w:rsidRDefault="0088006B" w:rsidP="0088006B">
      <w:pPr>
        <w:pStyle w:val="ListParagraph"/>
        <w:ind w:left="2160"/>
        <w:rPr>
          <w:rFonts w:ascii="Nirmala UI Semilight" w:eastAsia="Nirmala UI Semilight" w:hAnsi="Nirmala UI Semilight" w:cs="Nirmala UI Semilight"/>
          <w:i/>
          <w:iCs/>
          <w:color w:val="000000" w:themeColor="text1"/>
          <w:sz w:val="20"/>
        </w:rPr>
      </w:pPr>
      <w:r w:rsidRPr="0074007B">
        <w:rPr>
          <w:rFonts w:ascii="Nirmala UI Semilight" w:eastAsia="Nirmala UI Semilight" w:hAnsi="Nirmala UI Semilight" w:cs="Nirmala UI Semilight"/>
          <w:i/>
          <w:iCs/>
          <w:color w:val="000000" w:themeColor="text1"/>
          <w:sz w:val="20"/>
        </w:rPr>
        <w:t xml:space="preserve">The goal is to prioritize </w:t>
      </w:r>
      <w:r>
        <w:rPr>
          <w:rFonts w:ascii="Nirmala UI Semilight" w:eastAsia="Nirmala UI Semilight" w:hAnsi="Nirmala UI Semilight" w:cs="Nirmala UI Semilight"/>
          <w:i/>
          <w:iCs/>
          <w:color w:val="000000" w:themeColor="text1"/>
          <w:sz w:val="20"/>
        </w:rPr>
        <w:t>submissions</w:t>
      </w:r>
      <w:r w:rsidRPr="0074007B">
        <w:rPr>
          <w:rFonts w:ascii="Nirmala UI Semilight" w:eastAsia="Nirmala UI Semilight" w:hAnsi="Nirmala UI Semilight" w:cs="Nirmala UI Semilight"/>
          <w:i/>
          <w:iCs/>
          <w:color w:val="000000" w:themeColor="text1"/>
          <w:sz w:val="20"/>
        </w:rPr>
        <w:t xml:space="preserve">, focusing on those that are straightforward or critical with </w:t>
      </w:r>
      <w:r>
        <w:rPr>
          <w:rFonts w:ascii="Nirmala UI Semilight" w:eastAsia="Nirmala UI Semilight" w:hAnsi="Nirmala UI Semilight" w:cs="Nirmala UI Semilight"/>
          <w:i/>
          <w:iCs/>
          <w:color w:val="000000" w:themeColor="text1"/>
          <w:sz w:val="20"/>
        </w:rPr>
        <w:t xml:space="preserve">larger </w:t>
      </w:r>
      <w:r w:rsidRPr="0074007B">
        <w:rPr>
          <w:rFonts w:ascii="Nirmala UI Semilight" w:eastAsia="Nirmala UI Semilight" w:hAnsi="Nirmala UI Semilight" w:cs="Nirmala UI Semilight"/>
          <w:i/>
          <w:iCs/>
          <w:color w:val="000000" w:themeColor="text1"/>
          <w:sz w:val="20"/>
        </w:rPr>
        <w:t xml:space="preserve">effort. Due to limited resources, some CRFs may not be addressed. As task forces continue developing proposals into next year, the PRC will need to </w:t>
      </w:r>
      <w:r w:rsidRPr="0074007B">
        <w:rPr>
          <w:rFonts w:ascii="Nirmala UI Semilight" w:eastAsia="Nirmala UI Semilight" w:hAnsi="Nirmala UI Semilight" w:cs="Nirmala UI Semilight"/>
          <w:i/>
          <w:iCs/>
          <w:color w:val="000000" w:themeColor="text1"/>
          <w:sz w:val="20"/>
        </w:rPr>
        <w:lastRenderedPageBreak/>
        <w:t xml:space="preserve">consider </w:t>
      </w:r>
      <w:r>
        <w:rPr>
          <w:rFonts w:ascii="Nirmala UI Semilight" w:eastAsia="Nirmala UI Semilight" w:hAnsi="Nirmala UI Semilight" w:cs="Nirmala UI Semilight"/>
          <w:i/>
          <w:iCs/>
          <w:color w:val="000000" w:themeColor="text1"/>
          <w:sz w:val="20"/>
        </w:rPr>
        <w:t xml:space="preserve">what </w:t>
      </w:r>
      <w:r w:rsidRPr="0074007B">
        <w:rPr>
          <w:rFonts w:ascii="Nirmala UI Semilight" w:eastAsia="Nirmala UI Semilight" w:hAnsi="Nirmala UI Semilight" w:cs="Nirmala UI Semilight"/>
          <w:i/>
          <w:iCs/>
          <w:color w:val="000000" w:themeColor="text1"/>
          <w:sz w:val="20"/>
        </w:rPr>
        <w:t>resources are already committed to these efforts when working on 2026.</w:t>
      </w:r>
    </w:p>
    <w:p w14:paraId="03C049E5" w14:textId="77777777" w:rsidR="0088006B" w:rsidRPr="0074007B" w:rsidRDefault="0088006B" w:rsidP="0088006B">
      <w:pPr>
        <w:pStyle w:val="ListParagraph"/>
        <w:ind w:left="2160"/>
        <w:rPr>
          <w:rFonts w:ascii="Nirmala UI Semilight" w:eastAsia="Nirmala UI Semilight" w:hAnsi="Nirmala UI Semilight" w:cs="Nirmala UI Semilight"/>
          <w:i/>
          <w:iCs/>
          <w:color w:val="000000" w:themeColor="text1"/>
          <w:sz w:val="20"/>
        </w:rPr>
      </w:pPr>
    </w:p>
    <w:p w14:paraId="02DF9715" w14:textId="77777777" w:rsidR="0088006B" w:rsidRDefault="0088006B" w:rsidP="0088006B">
      <w:pPr>
        <w:pStyle w:val="ListParagraph"/>
        <w:ind w:left="2160"/>
        <w:rPr>
          <w:rFonts w:ascii="Nirmala UI Semilight" w:eastAsia="Nirmala UI Semilight" w:hAnsi="Nirmala UI Semilight" w:cs="Nirmala UI Semilight"/>
          <w:i/>
          <w:iCs/>
          <w:color w:val="000000" w:themeColor="text1"/>
          <w:sz w:val="20"/>
        </w:rPr>
      </w:pPr>
      <w:r>
        <w:rPr>
          <w:rFonts w:ascii="Nirmala UI Semilight" w:eastAsia="Nirmala UI Semilight" w:hAnsi="Nirmala UI Semilight" w:cs="Nirmala UI Semilight"/>
          <w:i/>
          <w:iCs/>
          <w:color w:val="000000" w:themeColor="text1"/>
          <w:sz w:val="20"/>
        </w:rPr>
        <w:t xml:space="preserve">Co-Chairs Ray Johnson and Max Green propose to move forward with the process and allow for flexibility without having a formal vote. </w:t>
      </w:r>
    </w:p>
    <w:p w14:paraId="56B3BFA4" w14:textId="77777777" w:rsidR="0088006B" w:rsidRPr="0097295C" w:rsidRDefault="0088006B" w:rsidP="0088006B">
      <w:pPr>
        <w:pStyle w:val="ListParagraph"/>
        <w:ind w:left="2160"/>
        <w:rPr>
          <w:rFonts w:ascii="Nirmala UI Semilight" w:eastAsia="Nirmala UI Semilight" w:hAnsi="Nirmala UI Semilight" w:cs="Nirmala UI Semilight"/>
          <w:i/>
          <w:iCs/>
          <w:color w:val="000000" w:themeColor="text1"/>
          <w:sz w:val="20"/>
        </w:rPr>
      </w:pPr>
    </w:p>
    <w:p w14:paraId="48CBED91" w14:textId="77777777" w:rsidR="0088006B" w:rsidRPr="004133BC" w:rsidRDefault="0088006B" w:rsidP="0088006B">
      <w:pPr>
        <w:pStyle w:val="ListParagraph"/>
        <w:ind w:left="2160"/>
        <w:rPr>
          <w:rFonts w:ascii="Nirmala UI Semilight" w:eastAsia="Nirmala UI Semilight" w:hAnsi="Nirmala UI Semilight" w:cs="Nirmala UI Semilight"/>
          <w:i/>
          <w:iCs/>
          <w:color w:val="000000" w:themeColor="text1"/>
          <w:sz w:val="20"/>
        </w:rPr>
      </w:pPr>
      <w:r>
        <w:rPr>
          <w:rFonts w:ascii="Nirmala UI Semilight" w:eastAsia="Nirmala UI Semilight" w:hAnsi="Nirmala UI Semilight" w:cs="Nirmala UI Semilight"/>
          <w:i/>
          <w:iCs/>
          <w:color w:val="000000" w:themeColor="text1"/>
          <w:sz w:val="20"/>
        </w:rPr>
        <w:t>Important to note, t</w:t>
      </w:r>
      <w:r w:rsidRPr="004133BC">
        <w:rPr>
          <w:rFonts w:ascii="Nirmala UI Semilight" w:eastAsia="Nirmala UI Semilight" w:hAnsi="Nirmala UI Semilight" w:cs="Nirmala UI Semilight"/>
          <w:i/>
          <w:iCs/>
          <w:color w:val="000000" w:themeColor="text1"/>
          <w:sz w:val="20"/>
        </w:rPr>
        <w:t>he concept of membership within WPP was formalized last year with the adoption of new bylaws, and participants in reliability programs like WRAP are already considered members. To formalize this, members will be asked to provide a point of contact. Carla Hudson from WPP will send an email requesting contact information. A similar process will be followed for allied partners, requiring them to sign an agreement to abide by WPP policies.</w:t>
      </w:r>
    </w:p>
    <w:p w14:paraId="5265AF3D" w14:textId="77777777" w:rsidR="0088006B" w:rsidRPr="004133BC" w:rsidRDefault="0088006B" w:rsidP="0088006B">
      <w:pPr>
        <w:pStyle w:val="ListParagraph"/>
        <w:ind w:left="2160"/>
        <w:rPr>
          <w:rFonts w:ascii="Nirmala UI Semilight" w:eastAsia="Nirmala UI Semilight" w:hAnsi="Nirmala UI Semilight" w:cs="Nirmala UI Semilight"/>
          <w:i/>
          <w:iCs/>
          <w:color w:val="000000" w:themeColor="text1"/>
          <w:sz w:val="20"/>
        </w:rPr>
      </w:pPr>
    </w:p>
    <w:p w14:paraId="22008FA7" w14:textId="77777777" w:rsidR="0088006B" w:rsidRDefault="0088006B" w:rsidP="0088006B">
      <w:pPr>
        <w:pStyle w:val="ListParagraph"/>
        <w:ind w:left="2160"/>
        <w:rPr>
          <w:rFonts w:ascii="Nirmala UI Semilight" w:eastAsia="Nirmala UI Semilight" w:hAnsi="Nirmala UI Semilight" w:cs="Nirmala UI Semilight"/>
          <w:i/>
          <w:iCs/>
          <w:color w:val="000000" w:themeColor="text1"/>
          <w:sz w:val="20"/>
        </w:rPr>
      </w:pPr>
      <w:r w:rsidRPr="004133BC">
        <w:rPr>
          <w:rFonts w:ascii="Nirmala UI Semilight" w:eastAsia="Nirmala UI Semilight" w:hAnsi="Nirmala UI Semilight" w:cs="Nirmala UI Semilight"/>
          <w:i/>
          <w:iCs/>
          <w:color w:val="000000" w:themeColor="text1"/>
          <w:sz w:val="20"/>
        </w:rPr>
        <w:t>Upcoming Events: The PRC meeting is on the 23rd, followed by pickleball. The annual member meeting will be on the 24th. There are no fees, and the events are open to anyone interested in becoming a stakeholder.</w:t>
      </w:r>
    </w:p>
    <w:p w14:paraId="0A93C101" w14:textId="77777777" w:rsidR="0088006B" w:rsidRPr="0097295C" w:rsidRDefault="0088006B" w:rsidP="0088006B">
      <w:pPr>
        <w:pStyle w:val="ListParagraph"/>
        <w:ind w:left="1440"/>
        <w:rPr>
          <w:rFonts w:ascii="Nirmala UI Semilight" w:eastAsia="Nirmala UI Semilight" w:hAnsi="Nirmala UI Semilight" w:cs="Nirmala UI Semilight"/>
          <w:color w:val="000000" w:themeColor="text1"/>
          <w:sz w:val="20"/>
        </w:rPr>
      </w:pPr>
    </w:p>
    <w:p w14:paraId="615FF3D7" w14:textId="77777777" w:rsidR="0088006B" w:rsidRPr="0013790E" w:rsidRDefault="0088006B" w:rsidP="0088006B">
      <w:pPr>
        <w:pStyle w:val="ListParagraph"/>
        <w:numPr>
          <w:ilvl w:val="1"/>
          <w:numId w:val="51"/>
        </w:numPr>
        <w:spacing w:after="160" w:line="259" w:lineRule="auto"/>
        <w:jc w:val="left"/>
        <w:rPr>
          <w:rFonts w:ascii="Nirmala UI Semilight" w:eastAsia="Nirmala UI Semilight" w:hAnsi="Nirmala UI Semilight" w:cs="Nirmala UI Semilight"/>
          <w:b/>
          <w:bCs/>
          <w:color w:val="000000" w:themeColor="text1"/>
          <w:sz w:val="20"/>
        </w:rPr>
      </w:pPr>
      <w:r w:rsidRPr="000B4063">
        <w:rPr>
          <w:rFonts w:ascii="Nirmala UI Semilight" w:eastAsia="Nirmala UI Semilight" w:hAnsi="Nirmala UI Semilight" w:cs="Nirmala UI Semilight"/>
          <w:b/>
          <w:bCs/>
          <w:color w:val="000000" w:themeColor="text1"/>
          <w:sz w:val="20"/>
        </w:rPr>
        <w:t>Concept &amp; NTFP Submissions Update</w:t>
      </w:r>
    </w:p>
    <w:p w14:paraId="391A6CF3" w14:textId="77777777" w:rsidR="0088006B" w:rsidRPr="005A3AF6" w:rsidRDefault="0088006B" w:rsidP="0088006B">
      <w:pPr>
        <w:pStyle w:val="ListParagraph"/>
        <w:spacing w:after="0"/>
        <w:ind w:left="1800"/>
        <w:rPr>
          <w:rFonts w:ascii="Nirmala UI Semilight" w:eastAsia="Nirmala UI Semilight" w:hAnsi="Nirmala UI Semilight" w:cs="Nirmala UI Semilight"/>
          <w:b/>
          <w:bCs/>
          <w:color w:val="000000" w:themeColor="text1"/>
          <w:sz w:val="20"/>
        </w:rPr>
      </w:pPr>
      <w:r w:rsidRPr="005A3AF6">
        <w:rPr>
          <w:rFonts w:ascii="Nirmala UI Semilight" w:eastAsia="Nirmala UI Semilight" w:hAnsi="Nirmala UI Semilight" w:cs="Nirmala UI Semilight"/>
          <w:i/>
          <w:iCs/>
          <w:color w:val="000000" w:themeColor="text1"/>
          <w:sz w:val="20"/>
        </w:rPr>
        <w:t>There are 35 Change Requests, with all but one from participants. The exception is Form, an external entity developing new 100-hour batteries</w:t>
      </w:r>
      <w:r>
        <w:rPr>
          <w:rFonts w:ascii="Nirmala UI Semilight" w:eastAsia="Nirmala UI Semilight" w:hAnsi="Nirmala UI Semilight" w:cs="Nirmala UI Semilight"/>
          <w:i/>
          <w:iCs/>
          <w:color w:val="000000" w:themeColor="text1"/>
          <w:sz w:val="20"/>
        </w:rPr>
        <w:t xml:space="preserve">. </w:t>
      </w:r>
      <w:r w:rsidRPr="005A3AF6">
        <w:rPr>
          <w:rFonts w:ascii="Nirmala UI Semilight" w:eastAsia="Nirmala UI Semilight" w:hAnsi="Nirmala UI Semilight" w:cs="Nirmala UI Semilight"/>
          <w:i/>
          <w:iCs/>
          <w:color w:val="000000" w:themeColor="text1"/>
          <w:sz w:val="20"/>
        </w:rPr>
        <w:t>WPP is assisting all sponsors with their NTFP submissions and coordinating where duplicate ideas have been submitted, encouraging co-sponsorship or withdrawal</w:t>
      </w:r>
      <w:r>
        <w:rPr>
          <w:rFonts w:ascii="Nirmala UI Semilight" w:eastAsia="Nirmala UI Semilight" w:hAnsi="Nirmala UI Semilight" w:cs="Nirmala UI Semilight"/>
          <w:i/>
          <w:iCs/>
          <w:color w:val="000000" w:themeColor="text1"/>
          <w:sz w:val="20"/>
        </w:rPr>
        <w:t xml:space="preserve"> of one to remove duplication of efforts.</w:t>
      </w:r>
      <w:r w:rsidRPr="005A3AF6">
        <w:rPr>
          <w:rFonts w:ascii="Nirmala UI Semilight" w:eastAsia="Nirmala UI Semilight" w:hAnsi="Nirmala UI Semilight" w:cs="Nirmala UI Semilight"/>
          <w:i/>
          <w:iCs/>
          <w:color w:val="000000" w:themeColor="text1"/>
          <w:sz w:val="20"/>
        </w:rPr>
        <w:t xml:space="preserve"> While Change Request forms can still be submitted until year-end, </w:t>
      </w:r>
      <w:r>
        <w:rPr>
          <w:rFonts w:ascii="Nirmala UI Semilight" w:eastAsia="Nirmala UI Semilight" w:hAnsi="Nirmala UI Semilight" w:cs="Nirmala UI Semilight"/>
          <w:i/>
          <w:iCs/>
          <w:color w:val="000000" w:themeColor="text1"/>
          <w:sz w:val="20"/>
        </w:rPr>
        <w:t xml:space="preserve">we appreciate </w:t>
      </w:r>
      <w:r w:rsidRPr="005A3AF6">
        <w:rPr>
          <w:rFonts w:ascii="Nirmala UI Semilight" w:eastAsia="Nirmala UI Semilight" w:hAnsi="Nirmala UI Semilight" w:cs="Nirmala UI Semilight"/>
          <w:i/>
          <w:iCs/>
          <w:color w:val="000000" w:themeColor="text1"/>
          <w:sz w:val="20"/>
        </w:rPr>
        <w:t>those</w:t>
      </w:r>
      <w:r>
        <w:rPr>
          <w:rFonts w:ascii="Nirmala UI Semilight" w:eastAsia="Nirmala UI Semilight" w:hAnsi="Nirmala UI Semilight" w:cs="Nirmala UI Semilight"/>
          <w:i/>
          <w:iCs/>
          <w:color w:val="000000" w:themeColor="text1"/>
          <w:sz w:val="20"/>
        </w:rPr>
        <w:t xml:space="preserve"> who</w:t>
      </w:r>
      <w:r w:rsidRPr="005A3AF6">
        <w:rPr>
          <w:rFonts w:ascii="Nirmala UI Semilight" w:eastAsia="Nirmala UI Semilight" w:hAnsi="Nirmala UI Semilight" w:cs="Nirmala UI Semilight"/>
          <w:i/>
          <w:iCs/>
          <w:color w:val="000000" w:themeColor="text1"/>
          <w:sz w:val="20"/>
        </w:rPr>
        <w:t xml:space="preserve"> submitted by the 15</w:t>
      </w:r>
      <w:r w:rsidRPr="00A17CA1">
        <w:rPr>
          <w:rFonts w:ascii="Nirmala UI Semilight" w:eastAsia="Nirmala UI Semilight" w:hAnsi="Nirmala UI Semilight" w:cs="Nirmala UI Semilight"/>
          <w:i/>
          <w:iCs/>
          <w:color w:val="000000" w:themeColor="text1"/>
          <w:sz w:val="20"/>
          <w:vertAlign w:val="superscript"/>
        </w:rPr>
        <w:t>th</w:t>
      </w:r>
      <w:r>
        <w:rPr>
          <w:rFonts w:ascii="Nirmala UI Semilight" w:eastAsia="Nirmala UI Semilight" w:hAnsi="Nirmala UI Semilight" w:cs="Nirmala UI Semilight"/>
          <w:i/>
          <w:iCs/>
          <w:color w:val="000000" w:themeColor="text1"/>
          <w:sz w:val="20"/>
        </w:rPr>
        <w:t xml:space="preserve">, </w:t>
      </w:r>
      <w:r w:rsidRPr="005A3AF6">
        <w:rPr>
          <w:rFonts w:ascii="Nirmala UI Semilight" w:eastAsia="Nirmala UI Semilight" w:hAnsi="Nirmala UI Semilight" w:cs="Nirmala UI Semilight"/>
          <w:i/>
          <w:iCs/>
          <w:color w:val="000000" w:themeColor="text1"/>
          <w:sz w:val="20"/>
        </w:rPr>
        <w:t>allowing time to make necessary edits. The meeting on 1/23 will review at least 30 submissions, possibly more.</w:t>
      </w:r>
    </w:p>
    <w:p w14:paraId="45D28B0E" w14:textId="77777777" w:rsidR="0088006B" w:rsidRPr="005A3AF6" w:rsidRDefault="0088006B" w:rsidP="0088006B">
      <w:pPr>
        <w:pStyle w:val="ListParagraph"/>
        <w:spacing w:after="0"/>
        <w:ind w:left="1080"/>
        <w:rPr>
          <w:rFonts w:ascii="Nirmala UI Semilight" w:eastAsia="Nirmala UI Semilight" w:hAnsi="Nirmala UI Semilight" w:cs="Nirmala UI Semilight"/>
          <w:b/>
          <w:bCs/>
          <w:color w:val="000000" w:themeColor="text1"/>
          <w:sz w:val="20"/>
        </w:rPr>
      </w:pPr>
    </w:p>
    <w:p w14:paraId="392D7DB0" w14:textId="77777777" w:rsidR="0088006B" w:rsidRPr="000B4063" w:rsidRDefault="0088006B" w:rsidP="0088006B">
      <w:pPr>
        <w:pStyle w:val="ListParagraph"/>
        <w:numPr>
          <w:ilvl w:val="0"/>
          <w:numId w:val="51"/>
        </w:numPr>
        <w:spacing w:after="0"/>
        <w:jc w:val="left"/>
        <w:rPr>
          <w:rFonts w:ascii="Nirmala UI Semilight" w:eastAsia="Nirmala UI Semilight" w:hAnsi="Nirmala UI Semilight" w:cs="Nirmala UI Semilight"/>
          <w:b/>
          <w:bCs/>
          <w:color w:val="000000" w:themeColor="text1"/>
          <w:sz w:val="20"/>
        </w:rPr>
      </w:pPr>
      <w:r w:rsidRPr="000B4063">
        <w:rPr>
          <w:rFonts w:ascii="Nirmala UI Semilight" w:eastAsia="Nirmala UI Semilight" w:hAnsi="Nirmala UI Semilight" w:cs="Nirmala UI Semilight"/>
          <w:b/>
          <w:bCs/>
          <w:color w:val="000000" w:themeColor="text1"/>
          <w:sz w:val="20"/>
        </w:rPr>
        <w:t xml:space="preserve">Next Steps </w:t>
      </w:r>
    </w:p>
    <w:p w14:paraId="213BAE78" w14:textId="77777777" w:rsidR="0088006B" w:rsidRPr="000B4063" w:rsidRDefault="0088006B" w:rsidP="0088006B">
      <w:pPr>
        <w:pStyle w:val="ListParagraph"/>
        <w:numPr>
          <w:ilvl w:val="1"/>
          <w:numId w:val="51"/>
        </w:numPr>
        <w:spacing w:after="0"/>
        <w:jc w:val="left"/>
        <w:rPr>
          <w:rFonts w:ascii="Nirmala UI Semilight" w:eastAsia="Nirmala UI Semilight" w:hAnsi="Nirmala UI Semilight" w:cs="Nirmala UI Semilight"/>
          <w:b/>
          <w:bCs/>
          <w:color w:val="000000" w:themeColor="text1"/>
          <w:sz w:val="20"/>
        </w:rPr>
      </w:pPr>
      <w:r w:rsidRPr="000B4063">
        <w:rPr>
          <w:rFonts w:ascii="Nirmala UI Semilight" w:eastAsia="Nirmala UI Semilight" w:hAnsi="Nirmala UI Semilight" w:cs="Nirmala UI Semilight"/>
          <w:b/>
          <w:bCs/>
          <w:color w:val="000000" w:themeColor="text1"/>
          <w:sz w:val="20"/>
        </w:rPr>
        <w:t xml:space="preserve">Meeting 1/15 9am PT </w:t>
      </w:r>
    </w:p>
    <w:p w14:paraId="09A0E9CB" w14:textId="77777777" w:rsidR="0088006B" w:rsidRPr="0005007B" w:rsidRDefault="0088006B" w:rsidP="0088006B">
      <w:pPr>
        <w:pStyle w:val="ListParagraph"/>
        <w:spacing w:after="0"/>
        <w:ind w:left="1800"/>
        <w:rPr>
          <w:rFonts w:ascii="Nirmala UI Semilight" w:eastAsia="Nirmala UI Semilight" w:hAnsi="Nirmala UI Semilight" w:cs="Nirmala UI Semilight"/>
          <w:i/>
          <w:iCs/>
          <w:color w:val="000000" w:themeColor="text1"/>
          <w:sz w:val="20"/>
        </w:rPr>
      </w:pPr>
      <w:r>
        <w:rPr>
          <w:rFonts w:ascii="Nirmala UI Semilight" w:eastAsia="Nirmala UI Semilight" w:hAnsi="Nirmala UI Semilight" w:cs="Nirmala UI Semilight"/>
          <w:i/>
          <w:iCs/>
          <w:color w:val="000000" w:themeColor="text1"/>
          <w:sz w:val="20"/>
        </w:rPr>
        <w:t xml:space="preserve">WPP will determine if there are more NTFP to consider on </w:t>
      </w:r>
      <w:proofErr w:type="gramStart"/>
      <w:r>
        <w:rPr>
          <w:rFonts w:ascii="Nirmala UI Semilight" w:eastAsia="Nirmala UI Semilight" w:hAnsi="Nirmala UI Semilight" w:cs="Nirmala UI Semilight"/>
          <w:i/>
          <w:iCs/>
          <w:color w:val="000000" w:themeColor="text1"/>
          <w:sz w:val="20"/>
        </w:rPr>
        <w:t>1/15, and</w:t>
      </w:r>
      <w:proofErr w:type="gramEnd"/>
      <w:r>
        <w:rPr>
          <w:rFonts w:ascii="Nirmala UI Semilight" w:eastAsia="Nirmala UI Semilight" w:hAnsi="Nirmala UI Semilight" w:cs="Nirmala UI Semilight"/>
          <w:i/>
          <w:iCs/>
          <w:color w:val="000000" w:themeColor="text1"/>
          <w:sz w:val="20"/>
        </w:rPr>
        <w:t xml:space="preserve"> will get ready for the meeting on 1/23 and what to expect there. </w:t>
      </w:r>
    </w:p>
    <w:p w14:paraId="7D35CD0F" w14:textId="77777777" w:rsidR="0088006B" w:rsidRDefault="0088006B" w:rsidP="0088006B">
      <w:pPr>
        <w:pStyle w:val="ListParagraph"/>
        <w:numPr>
          <w:ilvl w:val="1"/>
          <w:numId w:val="51"/>
        </w:numPr>
        <w:spacing w:after="0"/>
        <w:jc w:val="left"/>
        <w:rPr>
          <w:rFonts w:ascii="Nirmala UI Semilight" w:eastAsia="Nirmala UI Semilight" w:hAnsi="Nirmala UI Semilight" w:cs="Nirmala UI Semilight"/>
          <w:b/>
          <w:bCs/>
          <w:color w:val="000000" w:themeColor="text1"/>
          <w:sz w:val="20"/>
        </w:rPr>
      </w:pPr>
      <w:r w:rsidRPr="000B4063">
        <w:rPr>
          <w:rFonts w:ascii="Nirmala UI Semilight" w:eastAsia="Nirmala UI Semilight" w:hAnsi="Nirmala UI Semilight" w:cs="Nirmala UI Semilight"/>
          <w:b/>
          <w:bCs/>
          <w:color w:val="000000" w:themeColor="text1"/>
          <w:sz w:val="20"/>
        </w:rPr>
        <w:t>(In-Person) Meeting 1/23 9am-12pm, Salt River Project’s Pera Club, Tempe, AZ</w:t>
      </w:r>
    </w:p>
    <w:p w14:paraId="1408C11F" w14:textId="77777777" w:rsidR="0088006B" w:rsidRPr="0013790E" w:rsidRDefault="0088006B" w:rsidP="0088006B">
      <w:pPr>
        <w:pStyle w:val="ListParagraph"/>
        <w:spacing w:after="0"/>
        <w:ind w:left="1800"/>
        <w:rPr>
          <w:rFonts w:ascii="Nirmala UI Semilight" w:eastAsia="Nirmala UI Semilight" w:hAnsi="Nirmala UI Semilight" w:cs="Nirmala UI Semilight"/>
          <w:b/>
          <w:bCs/>
          <w:color w:val="000000" w:themeColor="text1"/>
          <w:sz w:val="20"/>
        </w:rPr>
      </w:pPr>
    </w:p>
    <w:p w14:paraId="2EE581BA" w14:textId="77777777" w:rsidR="0088006B" w:rsidRPr="00C44CE2" w:rsidRDefault="0088006B" w:rsidP="0088006B">
      <w:pPr>
        <w:pStyle w:val="ListParagraph"/>
        <w:spacing w:after="0"/>
        <w:ind w:left="2160"/>
        <w:textAlignment w:val="baseline"/>
        <w:rPr>
          <w:rFonts w:ascii="Nirmala UI Semilight" w:hAnsi="Nirmala UI Semilight" w:cs="Nirmala UI Semilight"/>
          <w:i/>
          <w:iCs/>
          <w:sz w:val="20"/>
        </w:rPr>
      </w:pPr>
      <w:r w:rsidRPr="00C44CE2">
        <w:rPr>
          <w:rFonts w:ascii="Nirmala UI Semilight" w:hAnsi="Nirmala UI Semilight" w:cs="Nirmala UI Semilight"/>
          <w:i/>
          <w:iCs/>
          <w:sz w:val="20"/>
        </w:rPr>
        <w:t xml:space="preserve"> Meeting is adjourned at </w:t>
      </w:r>
      <w:r>
        <w:rPr>
          <w:rFonts w:ascii="Nirmala UI Semilight" w:hAnsi="Nirmala UI Semilight" w:cs="Nirmala UI Semilight"/>
          <w:i/>
          <w:iCs/>
          <w:sz w:val="20"/>
        </w:rPr>
        <w:t>9</w:t>
      </w:r>
      <w:r w:rsidRPr="00C44CE2">
        <w:rPr>
          <w:rFonts w:ascii="Nirmala UI Semilight" w:hAnsi="Nirmala UI Semilight" w:cs="Nirmala UI Semilight"/>
          <w:i/>
          <w:iCs/>
          <w:sz w:val="20"/>
        </w:rPr>
        <w:t>:</w:t>
      </w:r>
      <w:r>
        <w:rPr>
          <w:rFonts w:ascii="Nirmala UI Semilight" w:hAnsi="Nirmala UI Semilight" w:cs="Nirmala UI Semilight"/>
          <w:i/>
          <w:iCs/>
          <w:sz w:val="20"/>
        </w:rPr>
        <w:t>55</w:t>
      </w:r>
      <w:r w:rsidRPr="00C44CE2">
        <w:rPr>
          <w:rFonts w:ascii="Nirmala UI Semilight" w:hAnsi="Nirmala UI Semilight" w:cs="Nirmala UI Semilight"/>
          <w:i/>
          <w:iCs/>
          <w:sz w:val="20"/>
        </w:rPr>
        <w:t xml:space="preserve"> AM. </w:t>
      </w:r>
    </w:p>
    <w:p w14:paraId="35AE90A4" w14:textId="77777777" w:rsidR="0088006B" w:rsidRPr="00C44CE2" w:rsidRDefault="0088006B" w:rsidP="0088006B">
      <w:pPr>
        <w:pStyle w:val="ListParagraph"/>
        <w:spacing w:after="0"/>
        <w:ind w:left="1080"/>
        <w:textAlignment w:val="baseline"/>
        <w:rPr>
          <w:rFonts w:ascii="Nirmala UI Semilight" w:hAnsi="Nirmala UI Semilight" w:cs="Nirmala UI Semilight"/>
          <w:iCs/>
          <w:sz w:val="20"/>
        </w:rPr>
      </w:pPr>
    </w:p>
    <w:p w14:paraId="38712BB6" w14:textId="77777777" w:rsidR="00AA52FB" w:rsidRDefault="00AA52FB">
      <w:pPr>
        <w:rPr>
          <w:rFonts w:asciiTheme="majorHAnsi" w:eastAsiaTheme="majorEastAsia" w:hAnsiTheme="majorHAnsi" w:cstheme="majorBidi"/>
          <w:color w:val="0F4761" w:themeColor="accent1" w:themeShade="BF"/>
          <w:sz w:val="40"/>
          <w:szCs w:val="40"/>
        </w:rPr>
      </w:pPr>
      <w:r>
        <w:br w:type="page"/>
      </w:r>
    </w:p>
    <w:p w14:paraId="51A638D9" w14:textId="5F7E0CC1" w:rsidR="00543F21" w:rsidRPr="00543F21" w:rsidRDefault="0047074A" w:rsidP="00543F21">
      <w:pPr>
        <w:pStyle w:val="Heading1"/>
      </w:pPr>
      <w:bookmarkStart w:id="90" w:name="_Ref191030613"/>
      <w:bookmarkStart w:id="91" w:name="_Toc202176542"/>
      <w:bookmarkStart w:id="92" w:name="_Toc202176721"/>
      <w:r>
        <w:lastRenderedPageBreak/>
        <w:t xml:space="preserve">Appendix </w:t>
      </w:r>
      <w:r w:rsidR="00AA52FB">
        <w:t>C</w:t>
      </w:r>
      <w:r w:rsidR="00543F21">
        <w:t xml:space="preserve"> – PRC Minutes </w:t>
      </w:r>
      <w:r w:rsidR="00543F21" w:rsidRPr="00543F21">
        <w:t>Jan</w:t>
      </w:r>
      <w:r w:rsidR="00325E66">
        <w:t>.</w:t>
      </w:r>
      <w:r w:rsidR="00543F21" w:rsidRPr="00543F21">
        <w:t xml:space="preserve"> 23</w:t>
      </w:r>
      <w:r w:rsidR="00543F21" w:rsidRPr="00543F21">
        <w:rPr>
          <w:vertAlign w:val="superscript"/>
        </w:rPr>
        <w:t>rd</w:t>
      </w:r>
      <w:r w:rsidR="00543F21" w:rsidRPr="00543F21">
        <w:t>, 2025; 9</w:t>
      </w:r>
      <w:r w:rsidR="00325E66">
        <w:t>-</w:t>
      </w:r>
      <w:r w:rsidR="00543F21" w:rsidRPr="00543F21">
        <w:t>12pm A</w:t>
      </w:r>
      <w:r w:rsidR="00325E66">
        <w:t>Z</w:t>
      </w:r>
      <w:bookmarkEnd w:id="90"/>
      <w:bookmarkEnd w:id="91"/>
      <w:bookmarkEnd w:id="92"/>
    </w:p>
    <w:p w14:paraId="79DCBC0C" w14:textId="70DFB5C5" w:rsidR="00BE542F" w:rsidRDefault="00BE542F" w:rsidP="000C1CCC"/>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33"/>
        <w:gridCol w:w="4111"/>
      </w:tblGrid>
      <w:tr w:rsidR="008130CE" w:rsidRPr="00EB63C5" w14:paraId="674E1BF6" w14:textId="77777777">
        <w:trPr>
          <w:trHeight w:val="300"/>
        </w:trPr>
        <w:tc>
          <w:tcPr>
            <w:tcW w:w="5505" w:type="dxa"/>
            <w:tcBorders>
              <w:top w:val="single" w:sz="6" w:space="0" w:color="000000"/>
              <w:left w:val="single" w:sz="6" w:space="0" w:color="000000"/>
              <w:bottom w:val="single" w:sz="6" w:space="0" w:color="000000"/>
              <w:right w:val="single" w:sz="6" w:space="0" w:color="000000"/>
            </w:tcBorders>
            <w:hideMark/>
          </w:tcPr>
          <w:p w14:paraId="58A62FBB" w14:textId="77777777" w:rsidR="008130CE" w:rsidRPr="00EB63C5" w:rsidRDefault="008130CE">
            <w:pPr>
              <w:spacing w:after="0" w:line="240" w:lineRule="exact"/>
              <w:rPr>
                <w:rFonts w:ascii="Nirmala UI Semilight" w:hAnsi="Nirmala UI Semilight" w:cs="Nirmala UI Semilight"/>
                <w:b/>
                <w:bCs/>
              </w:rPr>
            </w:pPr>
            <w:r w:rsidRPr="00EB63C5">
              <w:rPr>
                <w:rFonts w:ascii="Nirmala UI Semilight" w:hAnsi="Nirmala UI Semilight" w:cs="Nirmala UI Semilight"/>
                <w:b/>
                <w:bCs/>
              </w:rPr>
              <w:t>Sector</w:t>
            </w:r>
            <w:r w:rsidRPr="00EB63C5">
              <w:rPr>
                <w:rFonts w:ascii="Arial" w:hAnsi="Arial" w:cs="Arial"/>
                <w:b/>
                <w:bCs/>
              </w:rPr>
              <w:t>       </w:t>
            </w:r>
            <w:r w:rsidRPr="00EB63C5">
              <w:rPr>
                <w:rFonts w:ascii="Nirmala UI Semilight" w:hAnsi="Nirmala UI Semilight" w:cs="Nirmala UI Semilight"/>
                <w:b/>
                <w:bCs/>
              </w:rPr>
              <w:t> </w:t>
            </w:r>
          </w:p>
        </w:tc>
        <w:tc>
          <w:tcPr>
            <w:tcW w:w="4275" w:type="dxa"/>
            <w:tcBorders>
              <w:top w:val="single" w:sz="6" w:space="0" w:color="000000"/>
              <w:left w:val="single" w:sz="6" w:space="0" w:color="000000"/>
              <w:bottom w:val="single" w:sz="6" w:space="0" w:color="000000"/>
              <w:right w:val="single" w:sz="6" w:space="0" w:color="000000"/>
            </w:tcBorders>
            <w:hideMark/>
          </w:tcPr>
          <w:p w14:paraId="7A81F983" w14:textId="77777777" w:rsidR="008130CE" w:rsidRPr="00EB63C5" w:rsidRDefault="008130CE">
            <w:pPr>
              <w:spacing w:after="0" w:line="240" w:lineRule="exact"/>
              <w:rPr>
                <w:rFonts w:ascii="Nirmala UI Semilight" w:hAnsi="Nirmala UI Semilight" w:cs="Nirmala UI Semilight"/>
                <w:b/>
                <w:bCs/>
              </w:rPr>
            </w:pPr>
            <w:r w:rsidRPr="00EB63C5">
              <w:rPr>
                <w:rFonts w:ascii="Nirmala UI Semilight" w:hAnsi="Nirmala UI Semilight" w:cs="Nirmala UI Semilight"/>
                <w:b/>
                <w:bCs/>
              </w:rPr>
              <w:t>Representatives</w:t>
            </w:r>
            <w:r w:rsidRPr="00EB63C5">
              <w:rPr>
                <w:rFonts w:ascii="Arial" w:hAnsi="Arial" w:cs="Arial"/>
                <w:b/>
                <w:bCs/>
              </w:rPr>
              <w:t> </w:t>
            </w:r>
            <w:r w:rsidRPr="00EB63C5">
              <w:rPr>
                <w:rFonts w:ascii="Nirmala UI Semilight" w:hAnsi="Nirmala UI Semilight" w:cs="Nirmala UI Semilight"/>
                <w:b/>
                <w:bCs/>
              </w:rPr>
              <w:t xml:space="preserve">(bold in </w:t>
            </w:r>
            <w:proofErr w:type="gramStart"/>
            <w:r w:rsidRPr="00EB63C5">
              <w:rPr>
                <w:rFonts w:ascii="Nirmala UI Semilight" w:hAnsi="Nirmala UI Semilight" w:cs="Nirmala UI Semilight"/>
                <w:b/>
                <w:bCs/>
              </w:rPr>
              <w:t>attendance)</w:t>
            </w:r>
            <w:r w:rsidRPr="00EB63C5">
              <w:rPr>
                <w:rFonts w:ascii="Arial" w:hAnsi="Arial" w:cs="Arial"/>
                <w:b/>
                <w:bCs/>
              </w:rPr>
              <w:t> </w:t>
            </w:r>
            <w:r w:rsidRPr="00EB63C5">
              <w:rPr>
                <w:rFonts w:ascii="Nirmala UI Semilight" w:hAnsi="Nirmala UI Semilight" w:cs="Nirmala UI Semilight"/>
                <w:b/>
                <w:bCs/>
              </w:rPr>
              <w:t xml:space="preserve"> </w:t>
            </w:r>
            <w:r w:rsidRPr="00EB63C5">
              <w:rPr>
                <w:rFonts w:ascii="Arial" w:hAnsi="Arial" w:cs="Arial"/>
                <w:b/>
                <w:bCs/>
              </w:rPr>
              <w:t> </w:t>
            </w:r>
            <w:proofErr w:type="gramEnd"/>
            <w:r w:rsidRPr="00EB63C5">
              <w:rPr>
                <w:rFonts w:ascii="Arial" w:hAnsi="Arial" w:cs="Arial"/>
                <w:b/>
                <w:bCs/>
              </w:rPr>
              <w:t>  </w:t>
            </w:r>
            <w:r w:rsidRPr="00EB63C5">
              <w:rPr>
                <w:rFonts w:ascii="Nirmala UI Semilight" w:hAnsi="Nirmala UI Semilight" w:cs="Nirmala UI Semilight"/>
                <w:b/>
                <w:bCs/>
              </w:rPr>
              <w:t> </w:t>
            </w:r>
          </w:p>
        </w:tc>
      </w:tr>
      <w:tr w:rsidR="008130CE" w:rsidRPr="00EB63C5" w14:paraId="7D06FCCD" w14:textId="77777777">
        <w:trPr>
          <w:trHeight w:val="300"/>
        </w:trPr>
        <w:tc>
          <w:tcPr>
            <w:tcW w:w="5505" w:type="dxa"/>
            <w:tcBorders>
              <w:top w:val="single" w:sz="6" w:space="0" w:color="000000"/>
              <w:left w:val="single" w:sz="6" w:space="0" w:color="000000"/>
              <w:bottom w:val="single" w:sz="6" w:space="0" w:color="000000"/>
              <w:right w:val="single" w:sz="6" w:space="0" w:color="000000"/>
            </w:tcBorders>
            <w:hideMark/>
          </w:tcPr>
          <w:p w14:paraId="3A93927F" w14:textId="77777777" w:rsidR="008130CE" w:rsidRPr="00EB63C5" w:rsidRDefault="008130CE">
            <w:pPr>
              <w:spacing w:after="0" w:line="240" w:lineRule="exact"/>
              <w:rPr>
                <w:rFonts w:ascii="Nirmala UI Semilight" w:hAnsi="Nirmala UI Semilight" w:cs="Nirmala UI Semilight"/>
                <w:b/>
                <w:bCs/>
              </w:rPr>
            </w:pPr>
            <w:r w:rsidRPr="00EB63C5">
              <w:rPr>
                <w:rFonts w:ascii="Nirmala UI Semilight" w:hAnsi="Nirmala UI Semilight" w:cs="Nirmala UI Semilight"/>
                <w:b/>
                <w:bCs/>
              </w:rPr>
              <w:t>RAPC/Participant Investor-owned Utilities (</w:t>
            </w:r>
            <w:proofErr w:type="gramStart"/>
            <w:r w:rsidRPr="00EB63C5">
              <w:rPr>
                <w:rFonts w:ascii="Nirmala UI Semilight" w:hAnsi="Nirmala UI Semilight" w:cs="Nirmala UI Semilight"/>
                <w:b/>
                <w:bCs/>
              </w:rPr>
              <w:t>IOUs)</w:t>
            </w:r>
            <w:r w:rsidRPr="00EB63C5">
              <w:rPr>
                <w:rFonts w:ascii="Arial" w:hAnsi="Arial" w:cs="Arial"/>
                <w:b/>
                <w:bCs/>
              </w:rPr>
              <w:t> </w:t>
            </w:r>
            <w:r w:rsidRPr="00EB63C5">
              <w:rPr>
                <w:rFonts w:ascii="Nirmala UI Semilight" w:hAnsi="Nirmala UI Semilight" w:cs="Nirmala UI Semilight"/>
                <w:b/>
                <w:bCs/>
              </w:rPr>
              <w:t xml:space="preserve"> </w:t>
            </w:r>
            <w:r w:rsidRPr="00EB63C5">
              <w:rPr>
                <w:rFonts w:ascii="Arial" w:hAnsi="Arial" w:cs="Arial"/>
                <w:b/>
                <w:bCs/>
              </w:rPr>
              <w:t> </w:t>
            </w:r>
            <w:proofErr w:type="gramEnd"/>
            <w:r w:rsidRPr="00EB63C5">
              <w:rPr>
                <w:rFonts w:ascii="Arial" w:hAnsi="Arial" w:cs="Arial"/>
                <w:b/>
                <w:bCs/>
              </w:rPr>
              <w:t>   </w:t>
            </w:r>
            <w:r w:rsidRPr="00EB63C5">
              <w:rPr>
                <w:rFonts w:ascii="Nirmala UI Semilight" w:hAnsi="Nirmala UI Semilight" w:cs="Nirmala UI Semilight"/>
                <w:b/>
                <w:bCs/>
              </w:rPr>
              <w:t> </w:t>
            </w:r>
          </w:p>
        </w:tc>
        <w:tc>
          <w:tcPr>
            <w:tcW w:w="4275" w:type="dxa"/>
            <w:tcBorders>
              <w:top w:val="single" w:sz="6" w:space="0" w:color="000000"/>
              <w:left w:val="single" w:sz="6" w:space="0" w:color="000000"/>
              <w:bottom w:val="single" w:sz="6" w:space="0" w:color="000000"/>
              <w:right w:val="single" w:sz="6" w:space="0" w:color="000000"/>
            </w:tcBorders>
            <w:hideMark/>
          </w:tcPr>
          <w:p w14:paraId="4A67DBB7" w14:textId="77777777" w:rsidR="008130CE" w:rsidRPr="00EB63C5" w:rsidRDefault="008130CE" w:rsidP="008130CE">
            <w:pPr>
              <w:numPr>
                <w:ilvl w:val="0"/>
                <w:numId w:val="25"/>
              </w:numPr>
              <w:spacing w:after="0" w:line="240" w:lineRule="exact"/>
              <w:rPr>
                <w:rFonts w:ascii="Nirmala UI Semilight" w:hAnsi="Nirmala UI Semilight" w:cs="Nirmala UI Semilight"/>
              </w:rPr>
            </w:pPr>
            <w:r w:rsidRPr="00EB63C5">
              <w:rPr>
                <w:rFonts w:ascii="Nirmala UI Semilight" w:hAnsi="Nirmala UI Semilight" w:cs="Nirmala UI Semilight"/>
                <w:b/>
                <w:bCs/>
              </w:rPr>
              <w:t>Phil Haines</w:t>
            </w:r>
            <w:r w:rsidRPr="00EB63C5">
              <w:rPr>
                <w:rFonts w:ascii="Arial" w:hAnsi="Arial" w:cs="Arial"/>
                <w:b/>
                <w:bCs/>
              </w:rPr>
              <w:t> </w:t>
            </w:r>
            <w:r w:rsidRPr="00EB63C5">
              <w:rPr>
                <w:rFonts w:ascii="Nirmala UI Semilight" w:hAnsi="Nirmala UI Semilight" w:cs="Nirmala UI Semilight"/>
              </w:rPr>
              <w:t>(</w:t>
            </w:r>
            <w:r w:rsidRPr="00EB63C5">
              <w:rPr>
                <w:rFonts w:ascii="Nirmala UI Semilight" w:hAnsi="Nirmala UI Semilight" w:cs="Nirmala UI Semilight"/>
                <w:b/>
                <w:bCs/>
              </w:rPr>
              <w:t>Sachi Begur</w:t>
            </w:r>
            <w:r w:rsidRPr="00EB63C5">
              <w:rPr>
                <w:rFonts w:ascii="Nirmala UI Semilight" w:hAnsi="Nirmala UI Semilight" w:cs="Nirmala UI Semilight"/>
              </w:rPr>
              <w:t xml:space="preserve"> as alternate)</w:t>
            </w:r>
            <w:r w:rsidRPr="00EB63C5">
              <w:rPr>
                <w:rFonts w:ascii="Arial" w:hAnsi="Arial" w:cs="Arial"/>
              </w:rPr>
              <w:t>   </w:t>
            </w:r>
            <w:r w:rsidRPr="00EB63C5">
              <w:rPr>
                <w:rFonts w:ascii="Nirmala UI Semilight" w:hAnsi="Nirmala UI Semilight" w:cs="Nirmala UI Semilight"/>
              </w:rPr>
              <w:t> </w:t>
            </w:r>
          </w:p>
          <w:p w14:paraId="0D64E38F" w14:textId="77777777" w:rsidR="008130CE" w:rsidRPr="00EB63C5" w:rsidRDefault="008130CE" w:rsidP="008130CE">
            <w:pPr>
              <w:numPr>
                <w:ilvl w:val="0"/>
                <w:numId w:val="26"/>
              </w:numPr>
              <w:spacing w:after="0" w:line="240" w:lineRule="exact"/>
              <w:rPr>
                <w:rFonts w:ascii="Nirmala UI Semilight" w:hAnsi="Nirmala UI Semilight" w:cs="Nirmala UI Semilight"/>
                <w:b/>
                <w:bCs/>
              </w:rPr>
            </w:pPr>
            <w:r w:rsidRPr="00EB63C5">
              <w:rPr>
                <w:rFonts w:ascii="Nirmala UI Semilight" w:hAnsi="Nirmala UI Semilight" w:cs="Nirmala UI Semilight"/>
                <w:b/>
                <w:bCs/>
              </w:rPr>
              <w:t>Camille Christen</w:t>
            </w:r>
            <w:r w:rsidRPr="00EB63C5">
              <w:rPr>
                <w:rFonts w:ascii="Arial" w:hAnsi="Arial" w:cs="Arial"/>
                <w:b/>
                <w:bCs/>
              </w:rPr>
              <w:t>      </w:t>
            </w:r>
            <w:r w:rsidRPr="00EB63C5">
              <w:rPr>
                <w:rFonts w:ascii="Nirmala UI Semilight" w:hAnsi="Nirmala UI Semilight" w:cs="Nirmala UI Semilight"/>
                <w:b/>
                <w:bCs/>
              </w:rPr>
              <w:t> </w:t>
            </w:r>
          </w:p>
          <w:p w14:paraId="727AA3E3" w14:textId="77777777" w:rsidR="008130CE" w:rsidRPr="00EB63C5" w:rsidRDefault="008130CE" w:rsidP="008130CE">
            <w:pPr>
              <w:numPr>
                <w:ilvl w:val="0"/>
                <w:numId w:val="27"/>
              </w:numPr>
              <w:spacing w:after="0" w:line="240" w:lineRule="exact"/>
              <w:rPr>
                <w:rFonts w:ascii="Nirmala UI Semilight" w:hAnsi="Nirmala UI Semilight" w:cs="Nirmala UI Semilight"/>
              </w:rPr>
            </w:pPr>
            <w:r w:rsidRPr="00EB63C5">
              <w:rPr>
                <w:rFonts w:ascii="Nirmala UI Semilight" w:hAnsi="Nirmala UI Semilight" w:cs="Nirmala UI Semilight"/>
                <w:b/>
                <w:bCs/>
              </w:rPr>
              <w:t>Lindsey Schlekeway</w:t>
            </w:r>
            <w:r w:rsidRPr="00EB63C5">
              <w:rPr>
                <w:rFonts w:ascii="Nirmala UI Semilight" w:hAnsi="Nirmala UI Semilight" w:cs="Nirmala UI Semilight"/>
              </w:rPr>
              <w:t xml:space="preserve"> (Rodger Manzano as proxy)</w:t>
            </w:r>
            <w:r w:rsidRPr="00EB63C5">
              <w:rPr>
                <w:rFonts w:ascii="Arial" w:hAnsi="Arial" w:cs="Arial"/>
              </w:rPr>
              <w:t>  </w:t>
            </w:r>
            <w:r w:rsidRPr="00EB63C5">
              <w:rPr>
                <w:rFonts w:ascii="Nirmala UI Semilight" w:hAnsi="Nirmala UI Semilight" w:cs="Nirmala UI Semilight"/>
              </w:rPr>
              <w:t> </w:t>
            </w:r>
          </w:p>
          <w:p w14:paraId="65EE2B7B" w14:textId="77777777" w:rsidR="008130CE" w:rsidRPr="00EB63C5" w:rsidRDefault="008130CE" w:rsidP="008130CE">
            <w:pPr>
              <w:numPr>
                <w:ilvl w:val="0"/>
                <w:numId w:val="28"/>
              </w:numPr>
              <w:spacing w:after="0" w:line="240" w:lineRule="exact"/>
              <w:rPr>
                <w:rFonts w:ascii="Nirmala UI Semilight" w:hAnsi="Nirmala UI Semilight" w:cs="Nirmala UI Semilight"/>
                <w:b/>
                <w:bCs/>
              </w:rPr>
            </w:pPr>
            <w:r w:rsidRPr="00EB63C5">
              <w:rPr>
                <w:rFonts w:ascii="Nirmala UI Semilight" w:hAnsi="Nirmala UI Semilight" w:cs="Nirmala UI Semilight"/>
                <w:b/>
                <w:bCs/>
              </w:rPr>
              <w:t>Mike Goodenough</w:t>
            </w:r>
            <w:r w:rsidRPr="00EB63C5">
              <w:rPr>
                <w:rFonts w:ascii="Arial" w:hAnsi="Arial" w:cs="Arial"/>
                <w:b/>
                <w:bCs/>
              </w:rPr>
              <w:t>       </w:t>
            </w:r>
            <w:r w:rsidRPr="00EB63C5">
              <w:rPr>
                <w:rFonts w:ascii="Nirmala UI Semilight" w:hAnsi="Nirmala UI Semilight" w:cs="Nirmala UI Semilight"/>
                <w:b/>
                <w:bCs/>
              </w:rPr>
              <w:t> </w:t>
            </w:r>
          </w:p>
        </w:tc>
      </w:tr>
      <w:tr w:rsidR="008130CE" w:rsidRPr="00EB63C5" w14:paraId="26843EE2" w14:textId="77777777">
        <w:trPr>
          <w:trHeight w:val="300"/>
        </w:trPr>
        <w:tc>
          <w:tcPr>
            <w:tcW w:w="5505" w:type="dxa"/>
            <w:tcBorders>
              <w:top w:val="single" w:sz="6" w:space="0" w:color="000000"/>
              <w:left w:val="single" w:sz="6" w:space="0" w:color="000000"/>
              <w:bottom w:val="single" w:sz="6" w:space="0" w:color="000000"/>
              <w:right w:val="single" w:sz="6" w:space="0" w:color="000000"/>
            </w:tcBorders>
            <w:hideMark/>
          </w:tcPr>
          <w:p w14:paraId="101D2CA0" w14:textId="77777777" w:rsidR="008130CE" w:rsidRPr="00EB63C5" w:rsidRDefault="008130CE">
            <w:pPr>
              <w:spacing w:after="0" w:line="240" w:lineRule="exact"/>
              <w:rPr>
                <w:rFonts w:ascii="Nirmala UI Semilight" w:hAnsi="Nirmala UI Semilight" w:cs="Nirmala UI Semilight"/>
                <w:b/>
                <w:bCs/>
              </w:rPr>
            </w:pPr>
            <w:r w:rsidRPr="00EB63C5">
              <w:rPr>
                <w:rFonts w:ascii="Nirmala UI Semilight" w:hAnsi="Nirmala UI Semilight" w:cs="Nirmala UI Semilight"/>
                <w:b/>
                <w:bCs/>
              </w:rPr>
              <w:t>RAPC/Participant Publicly-owned utilities (</w:t>
            </w:r>
            <w:proofErr w:type="gramStart"/>
            <w:r w:rsidRPr="00EB63C5">
              <w:rPr>
                <w:rFonts w:ascii="Nirmala UI Semilight" w:hAnsi="Nirmala UI Semilight" w:cs="Nirmala UI Semilight"/>
                <w:b/>
                <w:bCs/>
              </w:rPr>
              <w:t>POUs)</w:t>
            </w:r>
            <w:r w:rsidRPr="00EB63C5">
              <w:rPr>
                <w:rFonts w:ascii="Arial" w:hAnsi="Arial" w:cs="Arial"/>
                <w:b/>
                <w:bCs/>
              </w:rPr>
              <w:t> </w:t>
            </w:r>
            <w:r w:rsidRPr="00EB63C5">
              <w:rPr>
                <w:rFonts w:ascii="Nirmala UI Semilight" w:hAnsi="Nirmala UI Semilight" w:cs="Nirmala UI Semilight"/>
                <w:b/>
                <w:bCs/>
              </w:rPr>
              <w:t xml:space="preserve"> </w:t>
            </w:r>
            <w:r w:rsidRPr="00EB63C5">
              <w:rPr>
                <w:rFonts w:ascii="Arial" w:hAnsi="Arial" w:cs="Arial"/>
                <w:b/>
                <w:bCs/>
              </w:rPr>
              <w:t> </w:t>
            </w:r>
            <w:proofErr w:type="gramEnd"/>
            <w:r w:rsidRPr="00EB63C5">
              <w:rPr>
                <w:rFonts w:ascii="Arial" w:hAnsi="Arial" w:cs="Arial"/>
                <w:b/>
                <w:bCs/>
              </w:rPr>
              <w:t>   </w:t>
            </w:r>
            <w:r w:rsidRPr="00EB63C5">
              <w:rPr>
                <w:rFonts w:ascii="Nirmala UI Semilight" w:hAnsi="Nirmala UI Semilight" w:cs="Nirmala UI Semilight"/>
                <w:b/>
                <w:bCs/>
              </w:rPr>
              <w:t> </w:t>
            </w:r>
          </w:p>
        </w:tc>
        <w:tc>
          <w:tcPr>
            <w:tcW w:w="4275" w:type="dxa"/>
            <w:tcBorders>
              <w:top w:val="single" w:sz="6" w:space="0" w:color="000000"/>
              <w:left w:val="single" w:sz="6" w:space="0" w:color="000000"/>
              <w:bottom w:val="single" w:sz="6" w:space="0" w:color="000000"/>
              <w:right w:val="single" w:sz="6" w:space="0" w:color="000000"/>
            </w:tcBorders>
            <w:hideMark/>
          </w:tcPr>
          <w:p w14:paraId="4A45BC2F" w14:textId="77777777" w:rsidR="008130CE" w:rsidRPr="00EB63C5" w:rsidRDefault="008130CE" w:rsidP="008130CE">
            <w:pPr>
              <w:numPr>
                <w:ilvl w:val="0"/>
                <w:numId w:val="29"/>
              </w:numPr>
              <w:spacing w:after="0" w:line="240" w:lineRule="exact"/>
              <w:rPr>
                <w:rFonts w:ascii="Nirmala UI Semilight" w:hAnsi="Nirmala UI Semilight" w:cs="Nirmala UI Semilight"/>
              </w:rPr>
            </w:pPr>
            <w:r w:rsidRPr="00EB63C5">
              <w:rPr>
                <w:rFonts w:ascii="Nirmala UI Semilight" w:hAnsi="Nirmala UI Semilight" w:cs="Nirmala UI Semilight"/>
                <w:b/>
                <w:bCs/>
              </w:rPr>
              <w:t>Michael Reynolds</w:t>
            </w:r>
            <w:r w:rsidRPr="00EB63C5">
              <w:rPr>
                <w:rFonts w:ascii="Nirmala UI Semilight" w:hAnsi="Nirmala UI Semilight" w:cs="Nirmala UI Semilight"/>
              </w:rPr>
              <w:t xml:space="preserve"> (Jerret Fischer as proxy)</w:t>
            </w:r>
            <w:r w:rsidRPr="00EB63C5">
              <w:rPr>
                <w:rFonts w:ascii="Arial" w:hAnsi="Arial" w:cs="Arial"/>
              </w:rPr>
              <w:t>  </w:t>
            </w:r>
            <w:r w:rsidRPr="00EB63C5">
              <w:rPr>
                <w:rFonts w:ascii="Nirmala UI Semilight" w:hAnsi="Nirmala UI Semilight" w:cs="Nirmala UI Semilight"/>
              </w:rPr>
              <w:t> </w:t>
            </w:r>
          </w:p>
          <w:p w14:paraId="70512A8B" w14:textId="77777777" w:rsidR="008130CE" w:rsidRPr="00EB63C5" w:rsidRDefault="008130CE" w:rsidP="008130CE">
            <w:pPr>
              <w:numPr>
                <w:ilvl w:val="0"/>
                <w:numId w:val="30"/>
              </w:numPr>
              <w:spacing w:after="0" w:line="240" w:lineRule="exact"/>
              <w:rPr>
                <w:rFonts w:ascii="Nirmala UI Semilight" w:hAnsi="Nirmala UI Semilight" w:cs="Nirmala UI Semilight"/>
              </w:rPr>
            </w:pPr>
            <w:r w:rsidRPr="00EB63C5">
              <w:rPr>
                <w:rFonts w:ascii="Nirmala UI Semilight" w:hAnsi="Nirmala UI Semilight" w:cs="Nirmala UI Semilight"/>
                <w:b/>
                <w:bCs/>
              </w:rPr>
              <w:t>Ray Johnson</w:t>
            </w:r>
            <w:r w:rsidRPr="00EB63C5">
              <w:rPr>
                <w:rFonts w:ascii="Nirmala UI Semilight" w:hAnsi="Nirmala UI Semilight" w:cs="Nirmala UI Semilight"/>
              </w:rPr>
              <w:t xml:space="preserve"> (Leah Marquez-Glynn</w:t>
            </w:r>
            <w:r w:rsidRPr="00EB63C5">
              <w:rPr>
                <w:rFonts w:ascii="Nirmala UI Semilight" w:hAnsi="Nirmala UI Semilight" w:cs="Nirmala UI Semilight"/>
                <w:i/>
                <w:iCs/>
              </w:rPr>
              <w:t xml:space="preserve"> </w:t>
            </w:r>
            <w:r w:rsidRPr="00EB63C5">
              <w:rPr>
                <w:rFonts w:ascii="Nirmala UI Semilight" w:hAnsi="Nirmala UI Semilight" w:cs="Nirmala UI Semilight"/>
              </w:rPr>
              <w:t>as proxy)</w:t>
            </w:r>
            <w:r w:rsidRPr="00EB63C5">
              <w:rPr>
                <w:rFonts w:ascii="Arial" w:hAnsi="Arial" w:cs="Arial"/>
              </w:rPr>
              <w:t>  </w:t>
            </w:r>
            <w:r w:rsidRPr="00EB63C5">
              <w:rPr>
                <w:rFonts w:ascii="Nirmala UI Semilight" w:hAnsi="Nirmala UI Semilight" w:cs="Nirmala UI Semilight"/>
              </w:rPr>
              <w:t> </w:t>
            </w:r>
          </w:p>
          <w:p w14:paraId="74D9FDAB" w14:textId="77777777" w:rsidR="008130CE" w:rsidRPr="00EB63C5" w:rsidRDefault="008130CE" w:rsidP="008130CE">
            <w:pPr>
              <w:numPr>
                <w:ilvl w:val="0"/>
                <w:numId w:val="31"/>
              </w:numPr>
              <w:spacing w:after="0" w:line="240" w:lineRule="exact"/>
              <w:rPr>
                <w:rFonts w:ascii="Nirmala UI Semilight" w:hAnsi="Nirmala UI Semilight" w:cs="Nirmala UI Semilight"/>
              </w:rPr>
            </w:pPr>
            <w:r w:rsidRPr="00EB63C5">
              <w:rPr>
                <w:rFonts w:ascii="Nirmala UI Semilight" w:hAnsi="Nirmala UI Semilight" w:cs="Nirmala UI Semilight"/>
              </w:rPr>
              <w:t>Garrison Marr</w:t>
            </w:r>
            <w:r w:rsidRPr="00EB63C5">
              <w:rPr>
                <w:rFonts w:ascii="Arial" w:hAnsi="Arial" w:cs="Arial"/>
              </w:rPr>
              <w:t>   </w:t>
            </w:r>
            <w:r w:rsidRPr="00EB63C5">
              <w:rPr>
                <w:rFonts w:ascii="Nirmala UI Semilight" w:hAnsi="Nirmala UI Semilight" w:cs="Nirmala UI Semilight"/>
              </w:rPr>
              <w:t> </w:t>
            </w:r>
          </w:p>
          <w:p w14:paraId="69E58DF7" w14:textId="77777777" w:rsidR="008130CE" w:rsidRPr="00EB63C5" w:rsidRDefault="008130CE" w:rsidP="008130CE">
            <w:pPr>
              <w:numPr>
                <w:ilvl w:val="0"/>
                <w:numId w:val="32"/>
              </w:numPr>
              <w:spacing w:after="0" w:line="240" w:lineRule="exact"/>
              <w:rPr>
                <w:rFonts w:ascii="Nirmala UI Semilight" w:hAnsi="Nirmala UI Semilight" w:cs="Nirmala UI Semilight"/>
                <w:b/>
                <w:bCs/>
              </w:rPr>
            </w:pPr>
            <w:r w:rsidRPr="00EB63C5">
              <w:rPr>
                <w:rFonts w:ascii="Nirmala UI Semilight" w:hAnsi="Nirmala UI Semilight" w:cs="Nirmala UI Semilight"/>
                <w:b/>
                <w:bCs/>
              </w:rPr>
              <w:t>Mike Bradshaw</w:t>
            </w:r>
            <w:r w:rsidRPr="00EB63C5">
              <w:rPr>
                <w:rFonts w:ascii="Arial" w:hAnsi="Arial" w:cs="Arial"/>
                <w:b/>
                <w:bCs/>
              </w:rPr>
              <w:t> </w:t>
            </w:r>
            <w:r w:rsidRPr="00EB63C5">
              <w:rPr>
                <w:rFonts w:ascii="Nirmala UI Semilight" w:hAnsi="Nirmala UI Semilight" w:cs="Nirmala UI Semilight"/>
                <w:b/>
                <w:bCs/>
              </w:rPr>
              <w:t> </w:t>
            </w:r>
          </w:p>
        </w:tc>
      </w:tr>
      <w:tr w:rsidR="008130CE" w:rsidRPr="00EB63C5" w14:paraId="70841669" w14:textId="77777777">
        <w:trPr>
          <w:trHeight w:val="300"/>
        </w:trPr>
        <w:tc>
          <w:tcPr>
            <w:tcW w:w="5505" w:type="dxa"/>
            <w:tcBorders>
              <w:top w:val="single" w:sz="6" w:space="0" w:color="000000"/>
              <w:left w:val="single" w:sz="6" w:space="0" w:color="000000"/>
              <w:bottom w:val="single" w:sz="6" w:space="0" w:color="000000"/>
              <w:right w:val="single" w:sz="6" w:space="0" w:color="000000"/>
            </w:tcBorders>
            <w:hideMark/>
          </w:tcPr>
          <w:p w14:paraId="3A6D2B22" w14:textId="77777777" w:rsidR="008130CE" w:rsidRPr="00EB63C5" w:rsidRDefault="008130CE">
            <w:pPr>
              <w:spacing w:after="0" w:line="240" w:lineRule="exact"/>
              <w:rPr>
                <w:rFonts w:ascii="Nirmala UI Semilight" w:hAnsi="Nirmala UI Semilight" w:cs="Nirmala UI Semilight"/>
                <w:b/>
                <w:bCs/>
              </w:rPr>
            </w:pPr>
            <w:r w:rsidRPr="00EB63C5">
              <w:rPr>
                <w:rFonts w:ascii="Nirmala UI Semilight" w:hAnsi="Nirmala UI Semilight" w:cs="Nirmala UI Semilight"/>
                <w:b/>
                <w:bCs/>
              </w:rPr>
              <w:t>RAPC/Participant Retail Competition Load Responsible Entity (</w:t>
            </w:r>
            <w:proofErr w:type="gramStart"/>
            <w:r w:rsidRPr="00EB63C5">
              <w:rPr>
                <w:rFonts w:ascii="Nirmala UI Semilight" w:hAnsi="Nirmala UI Semilight" w:cs="Nirmala UI Semilight"/>
                <w:b/>
                <w:bCs/>
              </w:rPr>
              <w:t>LRE)</w:t>
            </w:r>
            <w:r w:rsidRPr="00EB63C5">
              <w:rPr>
                <w:rFonts w:ascii="Arial" w:hAnsi="Arial" w:cs="Arial"/>
                <w:b/>
                <w:bCs/>
              </w:rPr>
              <w:t>   </w:t>
            </w:r>
            <w:proofErr w:type="gramEnd"/>
            <w:r w:rsidRPr="00EB63C5">
              <w:rPr>
                <w:rFonts w:ascii="Arial" w:hAnsi="Arial" w:cs="Arial"/>
                <w:b/>
                <w:bCs/>
              </w:rPr>
              <w:t>    </w:t>
            </w:r>
            <w:r w:rsidRPr="00EB63C5">
              <w:rPr>
                <w:rFonts w:ascii="Nirmala UI Semilight" w:hAnsi="Nirmala UI Semilight" w:cs="Nirmala UI Semilight"/>
                <w:b/>
                <w:bCs/>
              </w:rPr>
              <w:t> </w:t>
            </w:r>
          </w:p>
        </w:tc>
        <w:tc>
          <w:tcPr>
            <w:tcW w:w="4275" w:type="dxa"/>
            <w:tcBorders>
              <w:top w:val="single" w:sz="6" w:space="0" w:color="000000"/>
              <w:left w:val="single" w:sz="6" w:space="0" w:color="000000"/>
              <w:bottom w:val="single" w:sz="6" w:space="0" w:color="000000"/>
              <w:right w:val="single" w:sz="6" w:space="0" w:color="000000"/>
            </w:tcBorders>
            <w:hideMark/>
          </w:tcPr>
          <w:p w14:paraId="091C98B0" w14:textId="77777777" w:rsidR="008130CE" w:rsidRPr="00EB63C5" w:rsidRDefault="008130CE" w:rsidP="008130CE">
            <w:pPr>
              <w:numPr>
                <w:ilvl w:val="0"/>
                <w:numId w:val="33"/>
              </w:numPr>
              <w:spacing w:after="0" w:line="240" w:lineRule="exact"/>
              <w:rPr>
                <w:rFonts w:ascii="Nirmala UI Semilight" w:hAnsi="Nirmala UI Semilight" w:cs="Nirmala UI Semilight"/>
              </w:rPr>
            </w:pPr>
            <w:r w:rsidRPr="00EB63C5">
              <w:rPr>
                <w:rFonts w:ascii="Nirmala UI Semilight" w:hAnsi="Nirmala UI Semilight" w:cs="Nirmala UI Semilight"/>
              </w:rPr>
              <w:t>Ian White</w:t>
            </w:r>
            <w:r w:rsidRPr="00EB63C5">
              <w:rPr>
                <w:rFonts w:ascii="Arial" w:hAnsi="Arial" w:cs="Arial"/>
              </w:rPr>
              <w:t>     </w:t>
            </w:r>
            <w:r w:rsidRPr="00EB63C5">
              <w:rPr>
                <w:rFonts w:ascii="Nirmala UI Semilight" w:hAnsi="Nirmala UI Semilight" w:cs="Nirmala UI Semilight"/>
              </w:rPr>
              <w:t> </w:t>
            </w:r>
          </w:p>
          <w:p w14:paraId="291A498B" w14:textId="77777777" w:rsidR="008130CE" w:rsidRPr="00EB63C5" w:rsidRDefault="008130CE" w:rsidP="008130CE">
            <w:pPr>
              <w:numPr>
                <w:ilvl w:val="0"/>
                <w:numId w:val="34"/>
              </w:numPr>
              <w:spacing w:after="0" w:line="240" w:lineRule="exact"/>
              <w:rPr>
                <w:rFonts w:ascii="Nirmala UI Semilight" w:hAnsi="Nirmala UI Semilight" w:cs="Nirmala UI Semilight"/>
              </w:rPr>
            </w:pPr>
            <w:r w:rsidRPr="00EB63C5">
              <w:rPr>
                <w:rFonts w:ascii="Nirmala UI Semilight" w:hAnsi="Nirmala UI Semilight" w:cs="Nirmala UI Semilight"/>
              </w:rPr>
              <w:t>Bill Goddard</w:t>
            </w:r>
            <w:r w:rsidRPr="00EB63C5">
              <w:rPr>
                <w:rFonts w:ascii="Arial" w:hAnsi="Arial" w:cs="Arial"/>
              </w:rPr>
              <w:t>       </w:t>
            </w:r>
            <w:r w:rsidRPr="00EB63C5">
              <w:rPr>
                <w:rFonts w:ascii="Nirmala UI Semilight" w:hAnsi="Nirmala UI Semilight" w:cs="Nirmala UI Semilight"/>
              </w:rPr>
              <w:t> </w:t>
            </w:r>
          </w:p>
        </w:tc>
      </w:tr>
      <w:tr w:rsidR="008130CE" w:rsidRPr="00EB63C5" w14:paraId="542515A0" w14:textId="77777777">
        <w:trPr>
          <w:trHeight w:val="300"/>
        </w:trPr>
        <w:tc>
          <w:tcPr>
            <w:tcW w:w="5505" w:type="dxa"/>
            <w:tcBorders>
              <w:top w:val="single" w:sz="6" w:space="0" w:color="000000"/>
              <w:left w:val="single" w:sz="6" w:space="0" w:color="000000"/>
              <w:bottom w:val="single" w:sz="6" w:space="0" w:color="000000"/>
              <w:right w:val="single" w:sz="6" w:space="0" w:color="000000"/>
            </w:tcBorders>
            <w:hideMark/>
          </w:tcPr>
          <w:p w14:paraId="165CADD6" w14:textId="77777777" w:rsidR="008130CE" w:rsidRPr="00EB63C5" w:rsidRDefault="008130CE">
            <w:pPr>
              <w:spacing w:after="0" w:line="240" w:lineRule="exact"/>
              <w:rPr>
                <w:rFonts w:ascii="Nirmala UI Semilight" w:hAnsi="Nirmala UI Semilight" w:cs="Nirmala UI Semilight"/>
                <w:b/>
                <w:bCs/>
              </w:rPr>
            </w:pPr>
            <w:r w:rsidRPr="00EB63C5">
              <w:rPr>
                <w:rFonts w:ascii="Nirmala UI Semilight" w:hAnsi="Nirmala UI Semilight" w:cs="Nirmala UI Semilight"/>
                <w:b/>
                <w:bCs/>
              </w:rPr>
              <w:t>Federal Power Marketing Administration</w:t>
            </w:r>
            <w:r w:rsidRPr="00EB63C5">
              <w:rPr>
                <w:rFonts w:ascii="Arial" w:hAnsi="Arial" w:cs="Arial"/>
                <w:b/>
                <w:bCs/>
              </w:rPr>
              <w:t>       </w:t>
            </w:r>
            <w:r w:rsidRPr="00EB63C5">
              <w:rPr>
                <w:rFonts w:ascii="Nirmala UI Semilight" w:hAnsi="Nirmala UI Semilight" w:cs="Nirmala UI Semilight"/>
                <w:b/>
                <w:bCs/>
              </w:rPr>
              <w:t> </w:t>
            </w:r>
          </w:p>
        </w:tc>
        <w:tc>
          <w:tcPr>
            <w:tcW w:w="4275" w:type="dxa"/>
            <w:tcBorders>
              <w:top w:val="single" w:sz="6" w:space="0" w:color="000000"/>
              <w:left w:val="single" w:sz="6" w:space="0" w:color="000000"/>
              <w:bottom w:val="single" w:sz="6" w:space="0" w:color="000000"/>
              <w:right w:val="single" w:sz="6" w:space="0" w:color="000000"/>
            </w:tcBorders>
            <w:hideMark/>
          </w:tcPr>
          <w:p w14:paraId="7C85AF99" w14:textId="77777777" w:rsidR="008130CE" w:rsidRPr="00EB63C5" w:rsidRDefault="008130CE" w:rsidP="008130CE">
            <w:pPr>
              <w:numPr>
                <w:ilvl w:val="0"/>
                <w:numId w:val="35"/>
              </w:numPr>
              <w:spacing w:after="0" w:line="240" w:lineRule="exact"/>
              <w:rPr>
                <w:rFonts w:ascii="Nirmala UI Semilight" w:hAnsi="Nirmala UI Semilight" w:cs="Nirmala UI Semilight"/>
              </w:rPr>
            </w:pPr>
            <w:r w:rsidRPr="00EB63C5">
              <w:rPr>
                <w:rFonts w:ascii="Nirmala UI Semilight" w:hAnsi="Nirmala UI Semilight" w:cs="Nirmala UI Semilight"/>
                <w:b/>
                <w:bCs/>
              </w:rPr>
              <w:t>Jeff Cook</w:t>
            </w:r>
            <w:r w:rsidRPr="00EB63C5">
              <w:rPr>
                <w:rFonts w:ascii="Arial" w:hAnsi="Arial" w:cs="Arial"/>
                <w:b/>
                <w:bCs/>
              </w:rPr>
              <w:t> </w:t>
            </w:r>
            <w:r w:rsidRPr="00EB63C5">
              <w:rPr>
                <w:rFonts w:ascii="Nirmala UI Semilight" w:hAnsi="Nirmala UI Semilight" w:cs="Nirmala UI Semilight"/>
              </w:rPr>
              <w:t>(Rachel Dribble as proxy)</w:t>
            </w:r>
            <w:r w:rsidRPr="00EB63C5">
              <w:rPr>
                <w:rFonts w:ascii="Arial" w:hAnsi="Arial" w:cs="Arial"/>
              </w:rPr>
              <w:t>   </w:t>
            </w:r>
            <w:r w:rsidRPr="00EB63C5">
              <w:rPr>
                <w:rFonts w:ascii="Nirmala UI Semilight" w:hAnsi="Nirmala UI Semilight" w:cs="Nirmala UI Semilight"/>
              </w:rPr>
              <w:t> </w:t>
            </w:r>
          </w:p>
          <w:p w14:paraId="2FAE7E03" w14:textId="77777777" w:rsidR="008130CE" w:rsidRPr="00EB63C5" w:rsidRDefault="008130CE" w:rsidP="008130CE">
            <w:pPr>
              <w:numPr>
                <w:ilvl w:val="0"/>
                <w:numId w:val="36"/>
              </w:numPr>
              <w:spacing w:after="0" w:line="240" w:lineRule="exact"/>
              <w:rPr>
                <w:rFonts w:ascii="Nirmala UI Semilight" w:hAnsi="Nirmala UI Semilight" w:cs="Nirmala UI Semilight"/>
                <w:b/>
                <w:bCs/>
              </w:rPr>
            </w:pPr>
            <w:r w:rsidRPr="00EB63C5">
              <w:rPr>
                <w:rFonts w:ascii="Nirmala UI Semilight" w:hAnsi="Nirmala UI Semilight" w:cs="Nirmala UI Semilight"/>
                <w:b/>
                <w:bCs/>
              </w:rPr>
              <w:t>Rachel Dibble</w:t>
            </w:r>
            <w:r w:rsidRPr="00EB63C5">
              <w:rPr>
                <w:rFonts w:ascii="Arial" w:hAnsi="Arial" w:cs="Arial"/>
                <w:b/>
                <w:bCs/>
              </w:rPr>
              <w:t>   </w:t>
            </w:r>
            <w:r w:rsidRPr="00EB63C5">
              <w:rPr>
                <w:rFonts w:ascii="Nirmala UI Semilight" w:hAnsi="Nirmala UI Semilight" w:cs="Nirmala UI Semilight"/>
                <w:b/>
                <w:bCs/>
              </w:rPr>
              <w:t> </w:t>
            </w:r>
          </w:p>
        </w:tc>
      </w:tr>
      <w:tr w:rsidR="008130CE" w:rsidRPr="00EB63C5" w14:paraId="5094CE49" w14:textId="77777777">
        <w:trPr>
          <w:trHeight w:val="300"/>
        </w:trPr>
        <w:tc>
          <w:tcPr>
            <w:tcW w:w="5505" w:type="dxa"/>
            <w:tcBorders>
              <w:top w:val="single" w:sz="6" w:space="0" w:color="000000"/>
              <w:left w:val="single" w:sz="6" w:space="0" w:color="000000"/>
              <w:bottom w:val="single" w:sz="6" w:space="0" w:color="000000"/>
              <w:right w:val="single" w:sz="6" w:space="0" w:color="000000"/>
            </w:tcBorders>
            <w:hideMark/>
          </w:tcPr>
          <w:p w14:paraId="2DBB817A" w14:textId="77777777" w:rsidR="008130CE" w:rsidRPr="00EB63C5" w:rsidRDefault="008130CE">
            <w:pPr>
              <w:spacing w:after="0" w:line="240" w:lineRule="exact"/>
              <w:rPr>
                <w:rFonts w:ascii="Nirmala UI Semilight" w:hAnsi="Nirmala UI Semilight" w:cs="Nirmala UI Semilight"/>
                <w:b/>
                <w:bCs/>
              </w:rPr>
            </w:pPr>
            <w:r w:rsidRPr="00EB63C5">
              <w:rPr>
                <w:rFonts w:ascii="Nirmala UI Semilight" w:hAnsi="Nirmala UI Semilight" w:cs="Nirmala UI Semilight"/>
                <w:b/>
                <w:bCs/>
              </w:rPr>
              <w:t>Independent power producers/marketers</w:t>
            </w:r>
            <w:r w:rsidRPr="00EB63C5">
              <w:rPr>
                <w:rFonts w:ascii="Arial" w:hAnsi="Arial" w:cs="Arial"/>
                <w:b/>
                <w:bCs/>
              </w:rPr>
              <w:t>       </w:t>
            </w:r>
            <w:r w:rsidRPr="00EB63C5">
              <w:rPr>
                <w:rFonts w:ascii="Nirmala UI Semilight" w:hAnsi="Nirmala UI Semilight" w:cs="Nirmala UI Semilight"/>
                <w:b/>
                <w:bCs/>
              </w:rPr>
              <w:t> </w:t>
            </w:r>
          </w:p>
        </w:tc>
        <w:tc>
          <w:tcPr>
            <w:tcW w:w="4275" w:type="dxa"/>
            <w:tcBorders>
              <w:top w:val="single" w:sz="6" w:space="0" w:color="000000"/>
              <w:left w:val="single" w:sz="6" w:space="0" w:color="000000"/>
              <w:bottom w:val="single" w:sz="6" w:space="0" w:color="000000"/>
              <w:right w:val="single" w:sz="6" w:space="0" w:color="000000"/>
            </w:tcBorders>
            <w:hideMark/>
          </w:tcPr>
          <w:p w14:paraId="0D6303CF" w14:textId="77777777" w:rsidR="008130CE" w:rsidRPr="00EB63C5" w:rsidRDefault="008130CE" w:rsidP="008130CE">
            <w:pPr>
              <w:numPr>
                <w:ilvl w:val="0"/>
                <w:numId w:val="37"/>
              </w:numPr>
              <w:spacing w:after="0" w:line="240" w:lineRule="exact"/>
              <w:rPr>
                <w:rFonts w:ascii="Nirmala UI Semilight" w:hAnsi="Nirmala UI Semilight" w:cs="Nirmala UI Semilight"/>
              </w:rPr>
            </w:pPr>
            <w:r w:rsidRPr="00EB63C5">
              <w:rPr>
                <w:rFonts w:ascii="Nirmala UI Semilight" w:hAnsi="Nirmala UI Semilight" w:cs="Nirmala UI Semilight"/>
                <w:b/>
                <w:bCs/>
              </w:rPr>
              <w:t>John Cooper</w:t>
            </w:r>
            <w:r w:rsidRPr="00EB63C5">
              <w:rPr>
                <w:rFonts w:ascii="Nirmala UI Semilight" w:hAnsi="Nirmala UI Semilight" w:cs="Nirmala UI Semilight"/>
              </w:rPr>
              <w:t xml:space="preserve"> (Benjamin Fitch Fleischmann as proxy)</w:t>
            </w:r>
            <w:r w:rsidRPr="00EB63C5">
              <w:rPr>
                <w:rFonts w:ascii="Arial" w:hAnsi="Arial" w:cs="Arial"/>
              </w:rPr>
              <w:t> </w:t>
            </w:r>
            <w:r w:rsidRPr="00EB63C5">
              <w:rPr>
                <w:rFonts w:ascii="Nirmala UI Semilight" w:hAnsi="Nirmala UI Semilight" w:cs="Nirmala UI Semilight"/>
              </w:rPr>
              <w:t> </w:t>
            </w:r>
          </w:p>
          <w:p w14:paraId="2A95D18D" w14:textId="77777777" w:rsidR="008130CE" w:rsidRPr="00EB63C5" w:rsidRDefault="008130CE" w:rsidP="008130CE">
            <w:pPr>
              <w:numPr>
                <w:ilvl w:val="0"/>
                <w:numId w:val="38"/>
              </w:numPr>
              <w:spacing w:after="0" w:line="240" w:lineRule="exact"/>
              <w:rPr>
                <w:rFonts w:ascii="Nirmala UI Semilight" w:hAnsi="Nirmala UI Semilight" w:cs="Nirmala UI Semilight"/>
                <w:b/>
                <w:bCs/>
              </w:rPr>
            </w:pPr>
            <w:r w:rsidRPr="00EB63C5">
              <w:rPr>
                <w:rFonts w:ascii="Nirmala UI Semilight" w:hAnsi="Nirmala UI Semilight" w:cs="Nirmala UI Semilight"/>
                <w:b/>
                <w:bCs/>
              </w:rPr>
              <w:t>Benjamin Fitch Fleischmann</w:t>
            </w:r>
            <w:r w:rsidRPr="00EB63C5">
              <w:rPr>
                <w:rFonts w:ascii="Arial" w:hAnsi="Arial" w:cs="Arial"/>
                <w:b/>
                <w:bCs/>
              </w:rPr>
              <w:t>  </w:t>
            </w:r>
            <w:r w:rsidRPr="00EB63C5">
              <w:rPr>
                <w:rFonts w:ascii="Nirmala UI Semilight" w:hAnsi="Nirmala UI Semilight" w:cs="Nirmala UI Semilight"/>
                <w:b/>
                <w:bCs/>
              </w:rPr>
              <w:t> </w:t>
            </w:r>
          </w:p>
        </w:tc>
      </w:tr>
      <w:tr w:rsidR="008130CE" w:rsidRPr="00EB63C5" w14:paraId="7525ACB2" w14:textId="77777777">
        <w:trPr>
          <w:trHeight w:val="300"/>
        </w:trPr>
        <w:tc>
          <w:tcPr>
            <w:tcW w:w="5505" w:type="dxa"/>
            <w:tcBorders>
              <w:top w:val="single" w:sz="6" w:space="0" w:color="000000"/>
              <w:left w:val="single" w:sz="6" w:space="0" w:color="000000"/>
              <w:bottom w:val="single" w:sz="6" w:space="0" w:color="000000"/>
              <w:right w:val="single" w:sz="6" w:space="0" w:color="000000"/>
            </w:tcBorders>
            <w:hideMark/>
          </w:tcPr>
          <w:p w14:paraId="77BAABF8" w14:textId="77777777" w:rsidR="008130CE" w:rsidRPr="00EB63C5" w:rsidRDefault="008130CE">
            <w:pPr>
              <w:spacing w:after="0" w:line="240" w:lineRule="exact"/>
              <w:rPr>
                <w:rFonts w:ascii="Nirmala UI Semilight" w:hAnsi="Nirmala UI Semilight" w:cs="Nirmala UI Semilight"/>
                <w:b/>
                <w:bCs/>
              </w:rPr>
            </w:pPr>
            <w:r w:rsidRPr="00EB63C5">
              <w:rPr>
                <w:rFonts w:ascii="Nirmala UI Semilight" w:hAnsi="Nirmala UI Semilight" w:cs="Nirmala UI Semilight"/>
                <w:b/>
                <w:bCs/>
              </w:rPr>
              <w:t>Public interest organizations</w:t>
            </w:r>
            <w:r w:rsidRPr="00EB63C5">
              <w:rPr>
                <w:rFonts w:ascii="Arial" w:hAnsi="Arial" w:cs="Arial"/>
                <w:b/>
                <w:bCs/>
              </w:rPr>
              <w:t>       </w:t>
            </w:r>
            <w:r w:rsidRPr="00EB63C5">
              <w:rPr>
                <w:rFonts w:ascii="Nirmala UI Semilight" w:hAnsi="Nirmala UI Semilight" w:cs="Nirmala UI Semilight"/>
                <w:b/>
                <w:bCs/>
              </w:rPr>
              <w:t> </w:t>
            </w:r>
          </w:p>
        </w:tc>
        <w:tc>
          <w:tcPr>
            <w:tcW w:w="4275" w:type="dxa"/>
            <w:tcBorders>
              <w:top w:val="single" w:sz="6" w:space="0" w:color="000000"/>
              <w:left w:val="single" w:sz="6" w:space="0" w:color="000000"/>
              <w:bottom w:val="single" w:sz="6" w:space="0" w:color="000000"/>
              <w:right w:val="single" w:sz="6" w:space="0" w:color="000000"/>
            </w:tcBorders>
            <w:hideMark/>
          </w:tcPr>
          <w:p w14:paraId="4F64470C" w14:textId="77777777" w:rsidR="008130CE" w:rsidRPr="00EB63C5" w:rsidRDefault="008130CE" w:rsidP="008130CE">
            <w:pPr>
              <w:numPr>
                <w:ilvl w:val="0"/>
                <w:numId w:val="39"/>
              </w:numPr>
              <w:spacing w:after="0" w:line="240" w:lineRule="exact"/>
              <w:rPr>
                <w:rFonts w:ascii="Nirmala UI Semilight" w:hAnsi="Nirmala UI Semilight" w:cs="Nirmala UI Semilight"/>
                <w:b/>
                <w:bCs/>
              </w:rPr>
            </w:pPr>
            <w:r w:rsidRPr="00EB63C5">
              <w:rPr>
                <w:rFonts w:ascii="Nirmala UI Semilight" w:hAnsi="Nirmala UI Semilight" w:cs="Nirmala UI Semilight"/>
                <w:b/>
                <w:bCs/>
              </w:rPr>
              <w:t>Fred Huette (Max Greene as proxy)</w:t>
            </w:r>
            <w:r w:rsidRPr="00EB63C5">
              <w:rPr>
                <w:rFonts w:ascii="Arial" w:hAnsi="Arial" w:cs="Arial"/>
                <w:b/>
                <w:bCs/>
              </w:rPr>
              <w:t>  </w:t>
            </w:r>
            <w:r w:rsidRPr="00EB63C5">
              <w:rPr>
                <w:rFonts w:ascii="Nirmala UI Semilight" w:hAnsi="Nirmala UI Semilight" w:cs="Nirmala UI Semilight"/>
                <w:b/>
                <w:bCs/>
              </w:rPr>
              <w:t> </w:t>
            </w:r>
          </w:p>
          <w:p w14:paraId="55067E3C" w14:textId="77777777" w:rsidR="008130CE" w:rsidRPr="00EB63C5" w:rsidRDefault="008130CE" w:rsidP="008130CE">
            <w:pPr>
              <w:numPr>
                <w:ilvl w:val="0"/>
                <w:numId w:val="40"/>
              </w:numPr>
              <w:spacing w:after="0" w:line="240" w:lineRule="exact"/>
              <w:rPr>
                <w:rFonts w:ascii="Nirmala UI Semilight" w:hAnsi="Nirmala UI Semilight" w:cs="Nirmala UI Semilight"/>
              </w:rPr>
            </w:pPr>
            <w:r w:rsidRPr="00EB63C5">
              <w:rPr>
                <w:rFonts w:ascii="Nirmala UI Semilight" w:hAnsi="Nirmala UI Semilight" w:cs="Nirmala UI Semilight"/>
                <w:b/>
                <w:bCs/>
              </w:rPr>
              <w:t>Max Greene</w:t>
            </w:r>
            <w:r w:rsidRPr="00EB63C5">
              <w:rPr>
                <w:rFonts w:ascii="Arial" w:hAnsi="Arial" w:cs="Arial"/>
                <w:b/>
                <w:bCs/>
              </w:rPr>
              <w:t>  </w:t>
            </w:r>
            <w:r w:rsidRPr="00EB63C5">
              <w:rPr>
                <w:rFonts w:ascii="Nirmala UI Semilight" w:hAnsi="Nirmala UI Semilight" w:cs="Nirmala UI Semilight"/>
              </w:rPr>
              <w:t> </w:t>
            </w:r>
          </w:p>
        </w:tc>
      </w:tr>
      <w:tr w:rsidR="008130CE" w:rsidRPr="00EB63C5" w14:paraId="2B578069" w14:textId="77777777">
        <w:trPr>
          <w:trHeight w:val="300"/>
        </w:trPr>
        <w:tc>
          <w:tcPr>
            <w:tcW w:w="5505" w:type="dxa"/>
            <w:tcBorders>
              <w:top w:val="single" w:sz="6" w:space="0" w:color="000000"/>
              <w:left w:val="single" w:sz="6" w:space="0" w:color="000000"/>
              <w:bottom w:val="single" w:sz="6" w:space="0" w:color="000000"/>
              <w:right w:val="single" w:sz="6" w:space="0" w:color="000000"/>
            </w:tcBorders>
            <w:hideMark/>
          </w:tcPr>
          <w:p w14:paraId="415F0DE4" w14:textId="77777777" w:rsidR="008130CE" w:rsidRPr="00EB63C5" w:rsidRDefault="008130CE">
            <w:pPr>
              <w:spacing w:after="0" w:line="240" w:lineRule="exact"/>
              <w:rPr>
                <w:rFonts w:ascii="Nirmala UI Semilight" w:hAnsi="Nirmala UI Semilight" w:cs="Nirmala UI Semilight"/>
                <w:b/>
                <w:bCs/>
              </w:rPr>
            </w:pPr>
            <w:r w:rsidRPr="00EB63C5">
              <w:rPr>
                <w:rFonts w:ascii="Nirmala UI Semilight" w:hAnsi="Nirmala UI Semilight" w:cs="Nirmala UI Semilight"/>
                <w:b/>
                <w:bCs/>
              </w:rPr>
              <w:t>Retail customer advocacy group</w:t>
            </w:r>
            <w:r w:rsidRPr="00EB63C5">
              <w:rPr>
                <w:rFonts w:ascii="Arial" w:hAnsi="Arial" w:cs="Arial"/>
                <w:b/>
                <w:bCs/>
              </w:rPr>
              <w:t>       </w:t>
            </w:r>
            <w:r w:rsidRPr="00EB63C5">
              <w:rPr>
                <w:rFonts w:ascii="Nirmala UI Semilight" w:hAnsi="Nirmala UI Semilight" w:cs="Nirmala UI Semilight"/>
                <w:b/>
                <w:bCs/>
              </w:rPr>
              <w:t> </w:t>
            </w:r>
          </w:p>
        </w:tc>
        <w:tc>
          <w:tcPr>
            <w:tcW w:w="4275" w:type="dxa"/>
            <w:tcBorders>
              <w:top w:val="single" w:sz="6" w:space="0" w:color="000000"/>
              <w:left w:val="single" w:sz="6" w:space="0" w:color="000000"/>
              <w:bottom w:val="single" w:sz="6" w:space="0" w:color="000000"/>
              <w:right w:val="single" w:sz="6" w:space="0" w:color="000000"/>
            </w:tcBorders>
            <w:hideMark/>
          </w:tcPr>
          <w:p w14:paraId="76A4CCF3" w14:textId="77777777" w:rsidR="008130CE" w:rsidRPr="00EB63C5" w:rsidRDefault="008130CE" w:rsidP="008130CE">
            <w:pPr>
              <w:numPr>
                <w:ilvl w:val="0"/>
                <w:numId w:val="41"/>
              </w:numPr>
              <w:spacing w:after="0" w:line="240" w:lineRule="exact"/>
              <w:rPr>
                <w:rFonts w:ascii="Nirmala UI Semilight" w:hAnsi="Nirmala UI Semilight" w:cs="Nirmala UI Semilight"/>
                <w:b/>
                <w:bCs/>
              </w:rPr>
            </w:pPr>
            <w:r w:rsidRPr="00EB63C5">
              <w:rPr>
                <w:rFonts w:ascii="Nirmala UI Semilight" w:hAnsi="Nirmala UI Semilight" w:cs="Nirmala UI Semilight"/>
                <w:b/>
                <w:bCs/>
              </w:rPr>
              <w:t>Bela Vastag</w:t>
            </w:r>
            <w:r w:rsidRPr="00EB63C5">
              <w:rPr>
                <w:rFonts w:ascii="Arial" w:hAnsi="Arial" w:cs="Arial"/>
                <w:b/>
                <w:bCs/>
              </w:rPr>
              <w:t>    </w:t>
            </w:r>
            <w:r w:rsidRPr="00EB63C5">
              <w:rPr>
                <w:rFonts w:ascii="Nirmala UI Semilight" w:hAnsi="Nirmala UI Semilight" w:cs="Nirmala UI Semilight"/>
                <w:b/>
                <w:bCs/>
              </w:rPr>
              <w:t> </w:t>
            </w:r>
          </w:p>
        </w:tc>
      </w:tr>
      <w:tr w:rsidR="008130CE" w:rsidRPr="00EB63C5" w14:paraId="7CBB675B" w14:textId="77777777">
        <w:trPr>
          <w:trHeight w:val="300"/>
        </w:trPr>
        <w:tc>
          <w:tcPr>
            <w:tcW w:w="5505" w:type="dxa"/>
            <w:tcBorders>
              <w:top w:val="single" w:sz="6" w:space="0" w:color="000000"/>
              <w:left w:val="single" w:sz="6" w:space="0" w:color="000000"/>
              <w:bottom w:val="single" w:sz="6" w:space="0" w:color="000000"/>
              <w:right w:val="single" w:sz="6" w:space="0" w:color="000000"/>
            </w:tcBorders>
            <w:hideMark/>
          </w:tcPr>
          <w:p w14:paraId="56E618FB" w14:textId="77777777" w:rsidR="008130CE" w:rsidRPr="00EB63C5" w:rsidRDefault="008130CE">
            <w:pPr>
              <w:spacing w:after="0" w:line="240" w:lineRule="exact"/>
              <w:rPr>
                <w:rFonts w:ascii="Nirmala UI Semilight" w:hAnsi="Nirmala UI Semilight" w:cs="Nirmala UI Semilight"/>
                <w:b/>
                <w:bCs/>
              </w:rPr>
            </w:pPr>
            <w:r w:rsidRPr="00EB63C5">
              <w:rPr>
                <w:rFonts w:ascii="Nirmala UI Semilight" w:hAnsi="Nirmala UI Semilight" w:cs="Nirmala UI Semilight"/>
                <w:b/>
                <w:bCs/>
              </w:rPr>
              <w:t>Industrial customer advocacy group</w:t>
            </w:r>
            <w:r w:rsidRPr="00EB63C5">
              <w:rPr>
                <w:rFonts w:ascii="Arial" w:hAnsi="Arial" w:cs="Arial"/>
                <w:b/>
                <w:bCs/>
              </w:rPr>
              <w:t>       </w:t>
            </w:r>
            <w:r w:rsidRPr="00EB63C5">
              <w:rPr>
                <w:rFonts w:ascii="Nirmala UI Semilight" w:hAnsi="Nirmala UI Semilight" w:cs="Nirmala UI Semilight"/>
                <w:b/>
                <w:bCs/>
              </w:rPr>
              <w:t> </w:t>
            </w:r>
          </w:p>
        </w:tc>
        <w:tc>
          <w:tcPr>
            <w:tcW w:w="4275" w:type="dxa"/>
            <w:tcBorders>
              <w:top w:val="single" w:sz="6" w:space="0" w:color="000000"/>
              <w:left w:val="single" w:sz="6" w:space="0" w:color="000000"/>
              <w:bottom w:val="single" w:sz="6" w:space="0" w:color="000000"/>
              <w:right w:val="single" w:sz="6" w:space="0" w:color="000000"/>
            </w:tcBorders>
            <w:hideMark/>
          </w:tcPr>
          <w:p w14:paraId="5459310B" w14:textId="77777777" w:rsidR="008130CE" w:rsidRPr="00EB63C5" w:rsidRDefault="008130CE" w:rsidP="008130CE">
            <w:pPr>
              <w:numPr>
                <w:ilvl w:val="0"/>
                <w:numId w:val="42"/>
              </w:numPr>
              <w:spacing w:after="0" w:line="240" w:lineRule="exact"/>
              <w:rPr>
                <w:rFonts w:ascii="Nirmala UI Semilight" w:hAnsi="Nirmala UI Semilight" w:cs="Nirmala UI Semilight"/>
                <w:b/>
                <w:bCs/>
              </w:rPr>
            </w:pPr>
            <w:r w:rsidRPr="00EB63C5">
              <w:rPr>
                <w:rFonts w:ascii="Nirmala UI Semilight" w:hAnsi="Nirmala UI Semilight" w:cs="Nirmala UI Semilight"/>
                <w:b/>
                <w:bCs/>
              </w:rPr>
              <w:t>Sommer Moser</w:t>
            </w:r>
            <w:r w:rsidRPr="00EB63C5">
              <w:rPr>
                <w:rFonts w:ascii="Arial" w:hAnsi="Arial" w:cs="Arial"/>
                <w:b/>
                <w:bCs/>
              </w:rPr>
              <w:t> </w:t>
            </w:r>
            <w:r w:rsidRPr="00EB63C5">
              <w:rPr>
                <w:rFonts w:ascii="Nirmala UI Semilight" w:hAnsi="Nirmala UI Semilight" w:cs="Nirmala UI Semilight"/>
                <w:b/>
                <w:bCs/>
              </w:rPr>
              <w:t>(Tyler Pepper as proxy)</w:t>
            </w:r>
            <w:r w:rsidRPr="00EB63C5">
              <w:rPr>
                <w:rFonts w:ascii="Arial" w:hAnsi="Arial" w:cs="Arial"/>
                <w:b/>
                <w:bCs/>
              </w:rPr>
              <w:t> </w:t>
            </w:r>
            <w:r w:rsidRPr="00EB63C5">
              <w:rPr>
                <w:rFonts w:ascii="Nirmala UI Semilight" w:hAnsi="Nirmala UI Semilight" w:cs="Nirmala UI Semilight"/>
                <w:b/>
                <w:bCs/>
              </w:rPr>
              <w:t> </w:t>
            </w:r>
          </w:p>
        </w:tc>
      </w:tr>
      <w:tr w:rsidR="008130CE" w:rsidRPr="00EB63C5" w14:paraId="05C5D390" w14:textId="77777777">
        <w:trPr>
          <w:trHeight w:val="300"/>
        </w:trPr>
        <w:tc>
          <w:tcPr>
            <w:tcW w:w="5505" w:type="dxa"/>
            <w:tcBorders>
              <w:top w:val="single" w:sz="6" w:space="0" w:color="000000"/>
              <w:left w:val="single" w:sz="6" w:space="0" w:color="000000"/>
              <w:bottom w:val="single" w:sz="6" w:space="0" w:color="000000"/>
              <w:right w:val="single" w:sz="6" w:space="0" w:color="000000"/>
            </w:tcBorders>
            <w:hideMark/>
          </w:tcPr>
          <w:p w14:paraId="3C7911A2" w14:textId="77777777" w:rsidR="008130CE" w:rsidRPr="00EB63C5" w:rsidRDefault="008130CE">
            <w:pPr>
              <w:spacing w:after="0" w:line="240" w:lineRule="exact"/>
              <w:rPr>
                <w:rFonts w:ascii="Nirmala UI Semilight" w:hAnsi="Nirmala UI Semilight" w:cs="Nirmala UI Semilight"/>
                <w:b/>
                <w:bCs/>
              </w:rPr>
            </w:pPr>
            <w:r w:rsidRPr="00EB63C5">
              <w:rPr>
                <w:rFonts w:ascii="Nirmala UI Semilight" w:hAnsi="Nirmala UI Semilight" w:cs="Nirmala UI Semilight"/>
                <w:b/>
                <w:bCs/>
              </w:rPr>
              <w:t>Load Serving Entity (LSE) (or representative) with loads in the WRAP represented by another LRE and otherwise not eligible for any other sector</w:t>
            </w:r>
            <w:r w:rsidRPr="00EB63C5">
              <w:rPr>
                <w:rFonts w:ascii="Arial" w:hAnsi="Arial" w:cs="Arial"/>
                <w:b/>
                <w:bCs/>
              </w:rPr>
              <w:t>       </w:t>
            </w:r>
            <w:r w:rsidRPr="00EB63C5">
              <w:rPr>
                <w:rFonts w:ascii="Nirmala UI Semilight" w:hAnsi="Nirmala UI Semilight" w:cs="Nirmala UI Semilight"/>
                <w:b/>
                <w:bCs/>
              </w:rPr>
              <w:t> </w:t>
            </w:r>
          </w:p>
        </w:tc>
        <w:tc>
          <w:tcPr>
            <w:tcW w:w="4275" w:type="dxa"/>
            <w:tcBorders>
              <w:top w:val="single" w:sz="6" w:space="0" w:color="000000"/>
              <w:left w:val="single" w:sz="6" w:space="0" w:color="000000"/>
              <w:bottom w:val="single" w:sz="6" w:space="0" w:color="000000"/>
              <w:right w:val="single" w:sz="6" w:space="0" w:color="000000"/>
            </w:tcBorders>
            <w:hideMark/>
          </w:tcPr>
          <w:p w14:paraId="0BA64C32" w14:textId="77777777" w:rsidR="008130CE" w:rsidRPr="00EB63C5" w:rsidRDefault="008130CE" w:rsidP="008130CE">
            <w:pPr>
              <w:numPr>
                <w:ilvl w:val="0"/>
                <w:numId w:val="43"/>
              </w:numPr>
              <w:spacing w:after="0" w:line="240" w:lineRule="exact"/>
              <w:rPr>
                <w:rFonts w:ascii="Nirmala UI Semilight" w:hAnsi="Nirmala UI Semilight" w:cs="Nirmala UI Semilight"/>
              </w:rPr>
            </w:pPr>
            <w:r w:rsidRPr="00EB63C5">
              <w:rPr>
                <w:rFonts w:ascii="Nirmala UI Semilight" w:hAnsi="Nirmala UI Semilight" w:cs="Nirmala UI Semilight"/>
              </w:rPr>
              <w:t>Chris Allen</w:t>
            </w:r>
            <w:r w:rsidRPr="00EB63C5">
              <w:rPr>
                <w:rFonts w:ascii="Arial" w:hAnsi="Arial" w:cs="Arial"/>
              </w:rPr>
              <w:t>      </w:t>
            </w:r>
            <w:r w:rsidRPr="00EB63C5">
              <w:rPr>
                <w:rFonts w:ascii="Nirmala UI Semilight" w:hAnsi="Nirmala UI Semilight" w:cs="Nirmala UI Semilight"/>
              </w:rPr>
              <w:t> </w:t>
            </w:r>
          </w:p>
        </w:tc>
      </w:tr>
      <w:tr w:rsidR="008130CE" w:rsidRPr="00EB63C5" w14:paraId="2E6B1FD3" w14:textId="77777777">
        <w:trPr>
          <w:trHeight w:val="300"/>
        </w:trPr>
        <w:tc>
          <w:tcPr>
            <w:tcW w:w="5505" w:type="dxa"/>
            <w:tcBorders>
              <w:top w:val="single" w:sz="6" w:space="0" w:color="000000"/>
              <w:left w:val="single" w:sz="6" w:space="0" w:color="000000"/>
              <w:bottom w:val="single" w:sz="6" w:space="0" w:color="000000"/>
              <w:right w:val="single" w:sz="6" w:space="0" w:color="000000"/>
            </w:tcBorders>
            <w:hideMark/>
          </w:tcPr>
          <w:p w14:paraId="1151F409" w14:textId="77777777" w:rsidR="008130CE" w:rsidRPr="00EB63C5" w:rsidRDefault="008130CE">
            <w:pPr>
              <w:spacing w:after="0" w:line="240" w:lineRule="exact"/>
              <w:rPr>
                <w:rFonts w:ascii="Nirmala UI Semilight" w:hAnsi="Nirmala UI Semilight" w:cs="Nirmala UI Semilight"/>
                <w:b/>
                <w:bCs/>
              </w:rPr>
            </w:pPr>
            <w:r w:rsidRPr="00EB63C5">
              <w:rPr>
                <w:rFonts w:ascii="Nirmala UI Semilight" w:hAnsi="Nirmala UI Semilight" w:cs="Nirmala UI Semilight"/>
                <w:b/>
                <w:bCs/>
              </w:rPr>
              <w:t xml:space="preserve">COSR </w:t>
            </w:r>
            <w:r w:rsidRPr="00EB63C5">
              <w:rPr>
                <w:rFonts w:ascii="Arial" w:hAnsi="Arial" w:cs="Arial"/>
                <w:b/>
                <w:bCs/>
              </w:rPr>
              <w:t>       </w:t>
            </w:r>
            <w:r w:rsidRPr="00EB63C5">
              <w:rPr>
                <w:rFonts w:ascii="Nirmala UI Semilight" w:hAnsi="Nirmala UI Semilight" w:cs="Nirmala UI Semilight"/>
                <w:b/>
                <w:bCs/>
              </w:rPr>
              <w:t> </w:t>
            </w:r>
          </w:p>
        </w:tc>
        <w:tc>
          <w:tcPr>
            <w:tcW w:w="4275" w:type="dxa"/>
            <w:tcBorders>
              <w:top w:val="single" w:sz="6" w:space="0" w:color="000000"/>
              <w:left w:val="single" w:sz="6" w:space="0" w:color="000000"/>
              <w:bottom w:val="single" w:sz="6" w:space="0" w:color="000000"/>
              <w:right w:val="single" w:sz="6" w:space="0" w:color="000000"/>
            </w:tcBorders>
            <w:hideMark/>
          </w:tcPr>
          <w:p w14:paraId="100BC401" w14:textId="77777777" w:rsidR="008130CE" w:rsidRPr="00EB63C5" w:rsidRDefault="008130CE" w:rsidP="008130CE">
            <w:pPr>
              <w:numPr>
                <w:ilvl w:val="0"/>
                <w:numId w:val="44"/>
              </w:numPr>
              <w:spacing w:after="0" w:line="240" w:lineRule="exact"/>
              <w:rPr>
                <w:rFonts w:ascii="Nirmala UI Semilight" w:hAnsi="Nirmala UI Semilight" w:cs="Nirmala UI Semilight"/>
              </w:rPr>
            </w:pPr>
            <w:r w:rsidRPr="00EB63C5">
              <w:rPr>
                <w:rFonts w:ascii="Nirmala UI Semilight" w:hAnsi="Nirmala UI Semilight" w:cs="Nirmala UI Semilight"/>
              </w:rPr>
              <w:t>Chris Parker (</w:t>
            </w:r>
            <w:r w:rsidRPr="00EB63C5">
              <w:rPr>
                <w:rFonts w:ascii="Nirmala UI Semilight" w:hAnsi="Nirmala UI Semilight" w:cs="Nirmala UI Semilight"/>
                <w:b/>
                <w:bCs/>
              </w:rPr>
              <w:t xml:space="preserve">Gia Anguiano as </w:t>
            </w:r>
            <w:proofErr w:type="gramStart"/>
            <w:r w:rsidRPr="00EB63C5">
              <w:rPr>
                <w:rFonts w:ascii="Nirmala UI Semilight" w:hAnsi="Nirmala UI Semilight" w:cs="Nirmala UI Semilight"/>
                <w:b/>
                <w:bCs/>
              </w:rPr>
              <w:t>alternate)</w:t>
            </w:r>
            <w:r w:rsidRPr="00EB63C5">
              <w:rPr>
                <w:rFonts w:ascii="Arial" w:hAnsi="Arial" w:cs="Arial"/>
                <w:b/>
                <w:bCs/>
              </w:rPr>
              <w:t>  </w:t>
            </w:r>
            <w:r w:rsidRPr="00EB63C5">
              <w:rPr>
                <w:rFonts w:ascii="Nirmala UI Semilight" w:hAnsi="Nirmala UI Semilight" w:cs="Nirmala UI Semilight"/>
                <w:b/>
                <w:bCs/>
              </w:rPr>
              <w:t> </w:t>
            </w:r>
            <w:proofErr w:type="gramEnd"/>
          </w:p>
        </w:tc>
      </w:tr>
    </w:tbl>
    <w:p w14:paraId="5EB0A3BD" w14:textId="77777777" w:rsidR="008130CE" w:rsidRDefault="008130CE" w:rsidP="008130CE">
      <w:pPr>
        <w:spacing w:after="0" w:line="240" w:lineRule="exact"/>
        <w:rPr>
          <w:rFonts w:ascii="Nirmala UI Semilight" w:hAnsi="Nirmala UI Semilight" w:cs="Nirmala UI Semilight"/>
          <w:b/>
          <w:bCs/>
        </w:rPr>
      </w:pPr>
    </w:p>
    <w:p w14:paraId="39866B71" w14:textId="77777777" w:rsidR="008130CE" w:rsidRPr="002F5BE4" w:rsidRDefault="008130CE" w:rsidP="008130CE">
      <w:pPr>
        <w:spacing w:after="0" w:line="240" w:lineRule="exact"/>
        <w:rPr>
          <w:rFonts w:ascii="Nirmala UI Semilight" w:hAnsi="Nirmala UI Semilight" w:cs="Nirmala UI Semilight"/>
          <w:b/>
          <w:bCs/>
        </w:rPr>
      </w:pPr>
      <w:r w:rsidRPr="498DBACF">
        <w:rPr>
          <w:rFonts w:ascii="Nirmala UI Semilight" w:hAnsi="Nirmala UI Semilight" w:cs="Nirmala UI Semilight"/>
          <w:b/>
          <w:bCs/>
        </w:rPr>
        <w:t>Meeting Objectives</w:t>
      </w:r>
    </w:p>
    <w:p w14:paraId="74D4A976" w14:textId="77777777" w:rsidR="008130CE" w:rsidRDefault="008130CE" w:rsidP="008130CE">
      <w:pPr>
        <w:pStyle w:val="ListParagraph"/>
        <w:numPr>
          <w:ilvl w:val="0"/>
          <w:numId w:val="23"/>
        </w:numPr>
        <w:spacing w:after="0" w:line="240" w:lineRule="exact"/>
        <w:jc w:val="left"/>
        <w:rPr>
          <w:rFonts w:ascii="Nirmala UI Semilight" w:hAnsi="Nirmala UI Semilight" w:cs="Nirmala UI Semilight"/>
        </w:rPr>
      </w:pPr>
      <w:r>
        <w:rPr>
          <w:rFonts w:ascii="Nirmala UI Semilight" w:hAnsi="Nirmala UI Semilight" w:cs="Nirmala UI Semilight"/>
        </w:rPr>
        <w:t>Prioritization of Concepts submitted in 2024</w:t>
      </w:r>
    </w:p>
    <w:p w14:paraId="1D7604C9" w14:textId="77777777" w:rsidR="008130CE" w:rsidRDefault="008130CE" w:rsidP="008130CE">
      <w:pPr>
        <w:pStyle w:val="ListParagraph"/>
        <w:numPr>
          <w:ilvl w:val="0"/>
          <w:numId w:val="23"/>
        </w:numPr>
        <w:spacing w:after="0" w:line="240" w:lineRule="exact"/>
        <w:jc w:val="left"/>
        <w:rPr>
          <w:rFonts w:ascii="Nirmala UI Semilight" w:hAnsi="Nirmala UI Semilight" w:cs="Nirmala UI Semilight"/>
        </w:rPr>
      </w:pPr>
      <w:r>
        <w:rPr>
          <w:rFonts w:ascii="Nirmala UI Semilight" w:hAnsi="Nirmala UI Semilight" w:cs="Nirmala UI Semilight"/>
        </w:rPr>
        <w:t>Initial discussion of which Concepts become part of the draft 2025 Workplan</w:t>
      </w:r>
    </w:p>
    <w:p w14:paraId="53A262AB" w14:textId="77777777" w:rsidR="008130CE" w:rsidRPr="002F5BE4" w:rsidRDefault="008130CE" w:rsidP="008130CE">
      <w:pPr>
        <w:spacing w:after="0" w:line="240" w:lineRule="exact"/>
        <w:rPr>
          <w:rFonts w:ascii="Nirmala UI Semilight" w:hAnsi="Nirmala UI Semilight" w:cs="Nirmala UI Semilight"/>
          <w:b/>
          <w:bCs/>
        </w:rPr>
      </w:pPr>
      <w:r w:rsidRPr="23398BF8">
        <w:rPr>
          <w:rFonts w:ascii="Nirmala UI Semilight" w:hAnsi="Nirmala UI Semilight" w:cs="Nirmala UI Semilight"/>
          <w:b/>
          <w:bCs/>
        </w:rPr>
        <w:t>Discussion Topics</w:t>
      </w:r>
    </w:p>
    <w:p w14:paraId="17B0172F" w14:textId="77777777" w:rsidR="008130CE" w:rsidRPr="006C7D80" w:rsidRDefault="008130CE" w:rsidP="008130CE">
      <w:pPr>
        <w:pStyle w:val="ListParagraph"/>
        <w:numPr>
          <w:ilvl w:val="0"/>
          <w:numId w:val="22"/>
        </w:numPr>
        <w:spacing w:after="0" w:line="240" w:lineRule="exact"/>
        <w:jc w:val="left"/>
        <w:rPr>
          <w:rFonts w:ascii="Nirmala UI Semilight" w:hAnsi="Nirmala UI Semilight" w:cs="Nirmala UI Semilight"/>
          <w:b/>
          <w:bCs/>
        </w:rPr>
      </w:pPr>
      <w:r w:rsidRPr="006C7D80">
        <w:rPr>
          <w:rFonts w:ascii="Nirmala UI Semilight" w:hAnsi="Nirmala UI Semilight" w:cs="Nirmala UI Semilight"/>
          <w:b/>
          <w:bCs/>
        </w:rPr>
        <w:t xml:space="preserve">9:00-9:05 (5 mins) - Agenda Overview </w:t>
      </w:r>
    </w:p>
    <w:p w14:paraId="5976307A" w14:textId="77777777" w:rsidR="008130CE" w:rsidRPr="006C7D80" w:rsidRDefault="008130CE" w:rsidP="008130CE">
      <w:pPr>
        <w:pStyle w:val="ListParagraph"/>
        <w:numPr>
          <w:ilvl w:val="0"/>
          <w:numId w:val="22"/>
        </w:numPr>
        <w:spacing w:after="0" w:line="240" w:lineRule="exact"/>
        <w:jc w:val="left"/>
        <w:rPr>
          <w:rFonts w:ascii="Nirmala UI Semilight" w:hAnsi="Nirmala UI Semilight" w:cs="Nirmala UI Semilight"/>
          <w:b/>
          <w:bCs/>
        </w:rPr>
      </w:pPr>
      <w:r w:rsidRPr="006C7D80">
        <w:rPr>
          <w:rFonts w:ascii="Nirmala UI Semilight" w:hAnsi="Nirmala UI Semilight" w:cs="Nirmala UI Semilight"/>
          <w:b/>
          <w:bCs/>
        </w:rPr>
        <w:t>9:05-9:10 (5 mins) - PRC Introductions</w:t>
      </w:r>
    </w:p>
    <w:p w14:paraId="262EA053" w14:textId="77777777" w:rsidR="008130CE" w:rsidRDefault="008130CE" w:rsidP="008130CE">
      <w:pPr>
        <w:pStyle w:val="ListParagraph"/>
        <w:numPr>
          <w:ilvl w:val="0"/>
          <w:numId w:val="22"/>
        </w:numPr>
        <w:spacing w:after="0" w:line="240" w:lineRule="exact"/>
        <w:jc w:val="left"/>
        <w:rPr>
          <w:rFonts w:ascii="Nirmala UI Semilight" w:hAnsi="Nirmala UI Semilight" w:cs="Nirmala UI Semilight"/>
        </w:rPr>
      </w:pPr>
      <w:r w:rsidRPr="006C7D80">
        <w:rPr>
          <w:rFonts w:ascii="Nirmala UI Semilight" w:hAnsi="Nirmala UI Semilight" w:cs="Nirmala UI Semilight"/>
          <w:b/>
          <w:bCs/>
        </w:rPr>
        <w:t>9:10-9:20 (10 mins) -</w:t>
      </w:r>
      <w:r>
        <w:rPr>
          <w:rFonts w:ascii="Nirmala UI Semilight" w:hAnsi="Nirmala UI Semilight" w:cs="Nirmala UI Semilight"/>
        </w:rPr>
        <w:t xml:space="preserve"> </w:t>
      </w:r>
      <w:r w:rsidRPr="00FE130C">
        <w:rPr>
          <w:rFonts w:ascii="Nirmala UI Semilight" w:hAnsi="Nirmala UI Semilight" w:cs="Nirmala UI Semilight"/>
          <w:b/>
          <w:bCs/>
        </w:rPr>
        <w:t>Process Summary</w:t>
      </w:r>
      <w:r>
        <w:rPr>
          <w:rFonts w:ascii="Nirmala UI Semilight" w:hAnsi="Nirmala UI Semilight" w:cs="Nirmala UI Semilight"/>
        </w:rPr>
        <w:t xml:space="preserve"> </w:t>
      </w:r>
    </w:p>
    <w:p w14:paraId="65C9481F" w14:textId="77777777" w:rsidR="008130CE" w:rsidRPr="006C7D80" w:rsidRDefault="008130CE" w:rsidP="008130CE">
      <w:pPr>
        <w:pStyle w:val="ListParagraph"/>
        <w:numPr>
          <w:ilvl w:val="1"/>
          <w:numId w:val="22"/>
        </w:numPr>
        <w:spacing w:after="0" w:line="240" w:lineRule="exact"/>
        <w:jc w:val="left"/>
        <w:rPr>
          <w:rFonts w:ascii="Nirmala UI Semilight" w:hAnsi="Nirmala UI Semilight" w:cs="Nirmala UI Semilight"/>
        </w:rPr>
      </w:pPr>
      <w:r>
        <w:rPr>
          <w:rFonts w:ascii="Nirmala UI Semilight" w:hAnsi="Nirmala UI Semilight" w:cs="Nirmala UI Semilight"/>
          <w:i/>
          <w:iCs/>
        </w:rPr>
        <w:t xml:space="preserve">WPP provided an overview of the process via PowerPoint (see slides below) </w:t>
      </w:r>
    </w:p>
    <w:p w14:paraId="75E0C166" w14:textId="77777777" w:rsidR="008130CE" w:rsidRPr="008C1C3A" w:rsidRDefault="008130CE" w:rsidP="008130CE">
      <w:pPr>
        <w:pStyle w:val="ListParagraph"/>
        <w:numPr>
          <w:ilvl w:val="0"/>
          <w:numId w:val="22"/>
        </w:numPr>
        <w:spacing w:after="0" w:line="240" w:lineRule="exact"/>
        <w:jc w:val="left"/>
        <w:rPr>
          <w:rFonts w:ascii="Nirmala UI Semilight" w:hAnsi="Nirmala UI Semilight" w:cs="Nirmala UI Semilight"/>
          <w:b/>
          <w:bCs/>
        </w:rPr>
      </w:pPr>
      <w:r w:rsidRPr="006C7D80">
        <w:rPr>
          <w:rFonts w:ascii="Nirmala UI Semilight" w:hAnsi="Nirmala UI Semilight" w:cs="Nirmala UI Semilight"/>
          <w:b/>
          <w:bCs/>
        </w:rPr>
        <w:t>9:20-11:20 (2 hours)</w:t>
      </w:r>
      <w:r>
        <w:rPr>
          <w:rFonts w:ascii="Nirmala UI Semilight" w:hAnsi="Nirmala UI Semilight" w:cs="Nirmala UI Semilight"/>
        </w:rPr>
        <w:t xml:space="preserve"> - </w:t>
      </w:r>
      <w:r w:rsidRPr="00FE130C">
        <w:rPr>
          <w:rFonts w:ascii="Nirmala UI Semilight" w:hAnsi="Nirmala UI Semilight" w:cs="Nirmala UI Semilight"/>
          <w:b/>
          <w:bCs/>
        </w:rPr>
        <w:t>Concept Prioritization</w:t>
      </w:r>
    </w:p>
    <w:p w14:paraId="4A6854B9" w14:textId="77777777" w:rsidR="008130CE" w:rsidRPr="00D822B7" w:rsidRDefault="008130CE" w:rsidP="008130CE">
      <w:pPr>
        <w:pStyle w:val="ListParagraph"/>
        <w:numPr>
          <w:ilvl w:val="1"/>
          <w:numId w:val="24"/>
        </w:numPr>
        <w:spacing w:after="0" w:line="240" w:lineRule="exact"/>
        <w:jc w:val="left"/>
        <w:rPr>
          <w:rFonts w:ascii="Nirmala UI Semilight" w:hAnsi="Nirmala UI Semilight" w:cs="Nirmala UI Semilight"/>
          <w:u w:val="single"/>
        </w:rPr>
      </w:pPr>
      <w:r w:rsidRPr="008C1C3A">
        <w:rPr>
          <w:rFonts w:ascii="Nirmala UI Semilight" w:hAnsi="Nirmala UI Semilight" w:cs="Nirmala UI Semilight"/>
          <w:u w:val="single"/>
        </w:rPr>
        <w:t xml:space="preserve">Phase 0 – Concept consolidation </w:t>
      </w:r>
    </w:p>
    <w:p w14:paraId="1F8721FD" w14:textId="77777777" w:rsidR="008130CE" w:rsidRPr="00D822B7" w:rsidRDefault="008130CE" w:rsidP="008130CE">
      <w:pPr>
        <w:pStyle w:val="ListParagraph"/>
        <w:numPr>
          <w:ilvl w:val="2"/>
          <w:numId w:val="45"/>
        </w:numPr>
        <w:spacing w:after="0" w:line="240" w:lineRule="exact"/>
        <w:jc w:val="left"/>
        <w:rPr>
          <w:rFonts w:ascii="Nirmala UI Semilight" w:hAnsi="Nirmala UI Semilight" w:cs="Nirmala UI Semilight"/>
          <w:i/>
          <w:iCs/>
        </w:rPr>
      </w:pPr>
      <w:r w:rsidRPr="00D822B7">
        <w:rPr>
          <w:rFonts w:ascii="Nirmala UI Semilight" w:hAnsi="Nirmala UI Semilight" w:cs="Nirmala UI Semilight"/>
          <w:b/>
          <w:bCs/>
          <w:i/>
          <w:iCs/>
        </w:rPr>
        <w:t>CRF005 (Load Growth Factor) and CRF011</w:t>
      </w:r>
      <w:r w:rsidRPr="00D822B7">
        <w:rPr>
          <w:rFonts w:ascii="Nirmala UI Semilight" w:hAnsi="Nirmala UI Semilight" w:cs="Nirmala UI Semilight"/>
          <w:i/>
          <w:iCs/>
        </w:rPr>
        <w:t>:</w:t>
      </w:r>
    </w:p>
    <w:p w14:paraId="1E2FA627" w14:textId="77777777" w:rsidR="008130CE" w:rsidRPr="00954FD6" w:rsidRDefault="008130CE" w:rsidP="008130CE">
      <w:pPr>
        <w:numPr>
          <w:ilvl w:val="3"/>
          <w:numId w:val="45"/>
        </w:numPr>
        <w:spacing w:after="0" w:line="240" w:lineRule="exact"/>
        <w:rPr>
          <w:rFonts w:ascii="Nirmala UI Semilight" w:hAnsi="Nirmala UI Semilight" w:cs="Nirmala UI Semilight"/>
          <w:i/>
          <w:iCs/>
        </w:rPr>
      </w:pPr>
      <w:r w:rsidRPr="00954FD6">
        <w:rPr>
          <w:rFonts w:ascii="Nirmala UI Semilight" w:hAnsi="Nirmala UI Semilight" w:cs="Nirmala UI Semilight"/>
          <w:i/>
          <w:iCs/>
        </w:rPr>
        <w:t xml:space="preserve">Both SRP and APS agreed </w:t>
      </w:r>
      <w:r>
        <w:rPr>
          <w:rFonts w:ascii="Nirmala UI Semilight" w:hAnsi="Nirmala UI Semilight" w:cs="Nirmala UI Semilight"/>
          <w:i/>
          <w:iCs/>
        </w:rPr>
        <w:t xml:space="preserve">to </w:t>
      </w:r>
      <w:r w:rsidRPr="00954FD6">
        <w:rPr>
          <w:rFonts w:ascii="Nirmala UI Semilight" w:hAnsi="Nirmala UI Semilight" w:cs="Nirmala UI Semilight"/>
          <w:i/>
          <w:iCs/>
        </w:rPr>
        <w:t>combin</w:t>
      </w:r>
      <w:r>
        <w:rPr>
          <w:rFonts w:ascii="Nirmala UI Semilight" w:hAnsi="Nirmala UI Semilight" w:cs="Nirmala UI Semilight"/>
          <w:i/>
          <w:iCs/>
        </w:rPr>
        <w:t xml:space="preserve">e. </w:t>
      </w:r>
    </w:p>
    <w:p w14:paraId="2505E556" w14:textId="77777777" w:rsidR="008130CE" w:rsidRPr="00D822B7" w:rsidRDefault="008130CE" w:rsidP="008130CE">
      <w:pPr>
        <w:pStyle w:val="ListParagraph"/>
        <w:numPr>
          <w:ilvl w:val="2"/>
          <w:numId w:val="45"/>
        </w:numPr>
        <w:spacing w:after="0" w:line="240" w:lineRule="exact"/>
        <w:jc w:val="left"/>
        <w:rPr>
          <w:rFonts w:ascii="Nirmala UI Semilight" w:hAnsi="Nirmala UI Semilight" w:cs="Nirmala UI Semilight"/>
          <w:i/>
          <w:iCs/>
        </w:rPr>
      </w:pPr>
      <w:r w:rsidRPr="00D822B7">
        <w:rPr>
          <w:rFonts w:ascii="Nirmala UI Semilight" w:hAnsi="Nirmala UI Semilight" w:cs="Nirmala UI Semilight"/>
          <w:b/>
          <w:bCs/>
          <w:i/>
          <w:iCs/>
        </w:rPr>
        <w:t>SRP CRF-10 and CRF-13</w:t>
      </w:r>
      <w:r w:rsidRPr="00D822B7">
        <w:rPr>
          <w:rFonts w:ascii="Nirmala UI Semilight" w:hAnsi="Nirmala UI Semilight" w:cs="Nirmala UI Semilight"/>
          <w:i/>
          <w:iCs/>
        </w:rPr>
        <w:t>:</w:t>
      </w:r>
    </w:p>
    <w:p w14:paraId="6E3BCC70" w14:textId="77777777" w:rsidR="008130CE" w:rsidRPr="00954FD6" w:rsidRDefault="008130CE" w:rsidP="008130CE">
      <w:pPr>
        <w:numPr>
          <w:ilvl w:val="3"/>
          <w:numId w:val="45"/>
        </w:numPr>
        <w:spacing w:after="0" w:line="240" w:lineRule="exact"/>
        <w:rPr>
          <w:rFonts w:ascii="Nirmala UI Semilight" w:hAnsi="Nirmala UI Semilight" w:cs="Nirmala UI Semilight"/>
          <w:i/>
          <w:iCs/>
        </w:rPr>
      </w:pPr>
      <w:r w:rsidRPr="00954FD6">
        <w:rPr>
          <w:rFonts w:ascii="Nirmala UI Semilight" w:hAnsi="Nirmala UI Semilight" w:cs="Nirmala UI Semilight"/>
          <w:i/>
          <w:iCs/>
        </w:rPr>
        <w:t>SRP</w:t>
      </w:r>
      <w:r>
        <w:rPr>
          <w:rFonts w:ascii="Nirmala UI Semilight" w:hAnsi="Nirmala UI Semilight" w:cs="Nirmala UI Semilight"/>
          <w:i/>
          <w:iCs/>
        </w:rPr>
        <w:t xml:space="preserve"> and Idaho agreed to combine. </w:t>
      </w:r>
    </w:p>
    <w:p w14:paraId="071EC75F" w14:textId="77777777" w:rsidR="008130CE" w:rsidRPr="00D822B7" w:rsidRDefault="008130CE" w:rsidP="008130CE">
      <w:pPr>
        <w:pStyle w:val="ListParagraph"/>
        <w:numPr>
          <w:ilvl w:val="2"/>
          <w:numId w:val="45"/>
        </w:numPr>
        <w:spacing w:after="0" w:line="240" w:lineRule="exact"/>
        <w:jc w:val="left"/>
        <w:rPr>
          <w:rFonts w:ascii="Nirmala UI Semilight" w:hAnsi="Nirmala UI Semilight" w:cs="Nirmala UI Semilight"/>
          <w:i/>
          <w:iCs/>
        </w:rPr>
      </w:pPr>
      <w:r w:rsidRPr="00D822B7">
        <w:rPr>
          <w:rFonts w:ascii="Nirmala UI Semilight" w:hAnsi="Nirmala UI Semilight" w:cs="Nirmala UI Semilight"/>
          <w:b/>
          <w:bCs/>
          <w:i/>
          <w:iCs/>
        </w:rPr>
        <w:lastRenderedPageBreak/>
        <w:t>CRF-02 (Earlier FS Metrics) and CRF-017 (Monthly PRM Volatility)</w:t>
      </w:r>
      <w:r w:rsidRPr="00D822B7">
        <w:rPr>
          <w:rFonts w:ascii="Nirmala UI Semilight" w:hAnsi="Nirmala UI Semilight" w:cs="Nirmala UI Semilight"/>
          <w:i/>
          <w:iCs/>
        </w:rPr>
        <w:t>:</w:t>
      </w:r>
    </w:p>
    <w:p w14:paraId="42D34388" w14:textId="77777777" w:rsidR="008130CE" w:rsidRPr="00954FD6" w:rsidRDefault="008130CE" w:rsidP="008130CE">
      <w:pPr>
        <w:numPr>
          <w:ilvl w:val="3"/>
          <w:numId w:val="45"/>
        </w:numPr>
        <w:spacing w:after="0" w:line="240" w:lineRule="exact"/>
        <w:rPr>
          <w:rFonts w:ascii="Nirmala UI Semilight" w:hAnsi="Nirmala UI Semilight" w:cs="Nirmala UI Semilight"/>
          <w:i/>
          <w:iCs/>
        </w:rPr>
      </w:pPr>
      <w:r w:rsidRPr="00954FD6">
        <w:rPr>
          <w:rFonts w:ascii="Nirmala UI Semilight" w:hAnsi="Nirmala UI Semilight" w:cs="Nirmala UI Semilight"/>
          <w:i/>
          <w:iCs/>
        </w:rPr>
        <w:t>Both Idaho and NVE agree</w:t>
      </w:r>
      <w:r>
        <w:rPr>
          <w:rFonts w:ascii="Nirmala UI Semilight" w:hAnsi="Nirmala UI Semilight" w:cs="Nirmala UI Semilight"/>
          <w:i/>
          <w:iCs/>
        </w:rPr>
        <w:t xml:space="preserve">d to combine. </w:t>
      </w:r>
    </w:p>
    <w:p w14:paraId="3DD27ED7" w14:textId="77777777" w:rsidR="008130CE" w:rsidRPr="00D822B7" w:rsidRDefault="008130CE" w:rsidP="008130CE">
      <w:pPr>
        <w:pStyle w:val="ListParagraph"/>
        <w:numPr>
          <w:ilvl w:val="2"/>
          <w:numId w:val="45"/>
        </w:numPr>
        <w:spacing w:after="0" w:line="240" w:lineRule="exact"/>
        <w:jc w:val="left"/>
        <w:rPr>
          <w:rFonts w:ascii="Nirmala UI Semilight" w:hAnsi="Nirmala UI Semilight" w:cs="Nirmala UI Semilight"/>
          <w:i/>
          <w:iCs/>
        </w:rPr>
      </w:pPr>
      <w:r w:rsidRPr="00D822B7">
        <w:rPr>
          <w:rFonts w:ascii="Nirmala UI Semilight" w:hAnsi="Nirmala UI Semilight" w:cs="Nirmala UI Semilight"/>
          <w:b/>
          <w:bCs/>
          <w:i/>
          <w:iCs/>
        </w:rPr>
        <w:t>CRF-025 (Qualifying Contract Options &amp; Review) and CRF-031 (Bilateral Contracts)</w:t>
      </w:r>
      <w:r w:rsidRPr="00D822B7">
        <w:rPr>
          <w:rFonts w:ascii="Nirmala UI Semilight" w:hAnsi="Nirmala UI Semilight" w:cs="Nirmala UI Semilight"/>
          <w:i/>
          <w:iCs/>
        </w:rPr>
        <w:t>:</w:t>
      </w:r>
    </w:p>
    <w:p w14:paraId="4F58CE0E" w14:textId="77777777" w:rsidR="008130CE" w:rsidRPr="00954FD6" w:rsidRDefault="008130CE" w:rsidP="008130CE">
      <w:pPr>
        <w:numPr>
          <w:ilvl w:val="3"/>
          <w:numId w:val="45"/>
        </w:numPr>
        <w:spacing w:after="0" w:line="240" w:lineRule="exact"/>
        <w:rPr>
          <w:rFonts w:ascii="Nirmala UI Semilight" w:hAnsi="Nirmala UI Semilight" w:cs="Nirmala UI Semilight"/>
          <w:i/>
          <w:iCs/>
        </w:rPr>
      </w:pPr>
      <w:r w:rsidRPr="00954FD6">
        <w:rPr>
          <w:rFonts w:ascii="Nirmala UI Semilight" w:hAnsi="Nirmala UI Semilight" w:cs="Nirmala UI Semilight"/>
          <w:i/>
          <w:iCs/>
        </w:rPr>
        <w:t xml:space="preserve">Idaho initially did not see these CRFs as related. After </w:t>
      </w:r>
      <w:r>
        <w:rPr>
          <w:rFonts w:ascii="Nirmala UI Semilight" w:hAnsi="Nirmala UI Semilight" w:cs="Nirmala UI Semilight"/>
          <w:i/>
          <w:iCs/>
        </w:rPr>
        <w:t>discussion,</w:t>
      </w:r>
      <w:r w:rsidRPr="00954FD6">
        <w:rPr>
          <w:rFonts w:ascii="Nirmala UI Semilight" w:hAnsi="Nirmala UI Semilight" w:cs="Nirmala UI Semilight"/>
          <w:i/>
          <w:iCs/>
        </w:rPr>
        <w:t xml:space="preserve"> it was determined that they will not consolidate these CRFs.</w:t>
      </w:r>
    </w:p>
    <w:p w14:paraId="1CE5C1A9" w14:textId="77777777" w:rsidR="008130CE" w:rsidRPr="00D822B7" w:rsidRDefault="008130CE" w:rsidP="008130CE">
      <w:pPr>
        <w:pStyle w:val="ListParagraph"/>
        <w:numPr>
          <w:ilvl w:val="2"/>
          <w:numId w:val="45"/>
        </w:numPr>
        <w:spacing w:after="0" w:line="240" w:lineRule="exact"/>
        <w:jc w:val="left"/>
        <w:rPr>
          <w:rFonts w:ascii="Nirmala UI Semilight" w:hAnsi="Nirmala UI Semilight" w:cs="Nirmala UI Semilight"/>
          <w:i/>
          <w:iCs/>
        </w:rPr>
      </w:pPr>
      <w:r w:rsidRPr="00D822B7">
        <w:rPr>
          <w:rFonts w:ascii="Nirmala UI Semilight" w:hAnsi="Nirmala UI Semilight" w:cs="Nirmala UI Semilight"/>
          <w:b/>
          <w:bCs/>
          <w:i/>
          <w:iCs/>
        </w:rPr>
        <w:t>CRF-012 (ELCC by Vintage) and CRF-026 (Indicative QCCS)</w:t>
      </w:r>
      <w:r w:rsidRPr="00D822B7">
        <w:rPr>
          <w:rFonts w:ascii="Nirmala UI Semilight" w:hAnsi="Nirmala UI Semilight" w:cs="Nirmala UI Semilight"/>
          <w:i/>
          <w:iCs/>
        </w:rPr>
        <w:t>:</w:t>
      </w:r>
    </w:p>
    <w:p w14:paraId="35432A51" w14:textId="77777777" w:rsidR="008130CE" w:rsidRPr="00954FD6" w:rsidRDefault="008130CE" w:rsidP="008130CE">
      <w:pPr>
        <w:numPr>
          <w:ilvl w:val="3"/>
          <w:numId w:val="45"/>
        </w:numPr>
        <w:spacing w:after="0" w:line="240" w:lineRule="exact"/>
        <w:rPr>
          <w:rFonts w:ascii="Nirmala UI Semilight" w:hAnsi="Nirmala UI Semilight" w:cs="Nirmala UI Semilight"/>
          <w:i/>
          <w:iCs/>
        </w:rPr>
      </w:pPr>
      <w:r>
        <w:rPr>
          <w:rFonts w:ascii="Nirmala UI Semilight" w:hAnsi="Nirmala UI Semilight" w:cs="Nirmala UI Semilight"/>
          <w:i/>
          <w:iCs/>
        </w:rPr>
        <w:t>Idaho</w:t>
      </w:r>
      <w:r w:rsidRPr="00954FD6">
        <w:rPr>
          <w:rFonts w:ascii="Nirmala UI Semilight" w:hAnsi="Nirmala UI Semilight" w:cs="Nirmala UI Semilight"/>
          <w:i/>
          <w:iCs/>
        </w:rPr>
        <w:t xml:space="preserve"> proposed combining these two CRFs. APS and Form are supportive of the consolidation, provided they offer their approval. This proposal was approved, and CRF-026 will be struck and incorporated into CRF-012.</w:t>
      </w:r>
    </w:p>
    <w:p w14:paraId="6CBB288F" w14:textId="77777777" w:rsidR="008130CE" w:rsidRPr="00D822B7" w:rsidRDefault="008130CE" w:rsidP="008130CE">
      <w:pPr>
        <w:pStyle w:val="ListParagraph"/>
        <w:numPr>
          <w:ilvl w:val="2"/>
          <w:numId w:val="45"/>
        </w:numPr>
        <w:spacing w:after="0" w:line="240" w:lineRule="exact"/>
        <w:jc w:val="left"/>
        <w:rPr>
          <w:rFonts w:ascii="Nirmala UI Semilight" w:hAnsi="Nirmala UI Semilight" w:cs="Nirmala UI Semilight"/>
          <w:i/>
          <w:iCs/>
        </w:rPr>
      </w:pPr>
      <w:r w:rsidRPr="00D822B7">
        <w:rPr>
          <w:rFonts w:ascii="Nirmala UI Semilight" w:hAnsi="Nirmala UI Semilight" w:cs="Nirmala UI Semilight"/>
          <w:b/>
          <w:bCs/>
          <w:i/>
          <w:iCs/>
        </w:rPr>
        <w:t>CRF-004 (Day-Ahead Market Optimization) and CRF-01 (SWEDE Transmission Limits)</w:t>
      </w:r>
      <w:r w:rsidRPr="00D822B7">
        <w:rPr>
          <w:rFonts w:ascii="Nirmala UI Semilight" w:hAnsi="Nirmala UI Semilight" w:cs="Nirmala UI Semilight"/>
          <w:i/>
          <w:iCs/>
        </w:rPr>
        <w:t>:</w:t>
      </w:r>
    </w:p>
    <w:p w14:paraId="630FEC8F" w14:textId="77777777" w:rsidR="008130CE" w:rsidRPr="00954FD6" w:rsidRDefault="008130CE" w:rsidP="008130CE">
      <w:pPr>
        <w:numPr>
          <w:ilvl w:val="3"/>
          <w:numId w:val="45"/>
        </w:numPr>
        <w:spacing w:after="0" w:line="240" w:lineRule="exact"/>
        <w:rPr>
          <w:rFonts w:ascii="Nirmala UI Semilight" w:hAnsi="Nirmala UI Semilight" w:cs="Nirmala UI Semilight"/>
          <w:i/>
          <w:iCs/>
        </w:rPr>
      </w:pPr>
      <w:r w:rsidRPr="00954FD6">
        <w:rPr>
          <w:rFonts w:ascii="Nirmala UI Semilight" w:hAnsi="Nirmala UI Semilight" w:cs="Nirmala UI Semilight"/>
          <w:i/>
          <w:iCs/>
        </w:rPr>
        <w:t>The proposal to combine these two CRFs was discussed and agreed upon.</w:t>
      </w:r>
    </w:p>
    <w:p w14:paraId="74F31877" w14:textId="77777777" w:rsidR="008130CE" w:rsidRDefault="008130CE" w:rsidP="008130CE">
      <w:pPr>
        <w:spacing w:after="0" w:line="240" w:lineRule="exact"/>
        <w:rPr>
          <w:rFonts w:ascii="Nirmala UI Semilight" w:hAnsi="Nirmala UI Semilight" w:cs="Nirmala UI Semilight"/>
          <w:i/>
          <w:iCs/>
        </w:rPr>
      </w:pPr>
    </w:p>
    <w:p w14:paraId="2CFE8A5D" w14:textId="77777777" w:rsidR="008130CE" w:rsidRDefault="008130CE" w:rsidP="008130CE">
      <w:pPr>
        <w:spacing w:after="0" w:line="240" w:lineRule="exact"/>
        <w:ind w:left="1980"/>
        <w:rPr>
          <w:rFonts w:ascii="Nirmala UI Semilight" w:hAnsi="Nirmala UI Semilight" w:cs="Nirmala UI Semilight"/>
          <w:i/>
          <w:iCs/>
        </w:rPr>
      </w:pPr>
      <w:r>
        <w:rPr>
          <w:rFonts w:ascii="Nirmala UI Semilight" w:hAnsi="Nirmala UI Semilight" w:cs="Nirmala UI Semilight"/>
          <w:i/>
          <w:iCs/>
        </w:rPr>
        <w:t xml:space="preserve">With consolidated CRFs, sponsors will have to decide who will be the lead chair/sponsor and you can </w:t>
      </w:r>
      <w:proofErr w:type="gramStart"/>
      <w:r>
        <w:rPr>
          <w:rFonts w:ascii="Nirmala UI Semilight" w:hAnsi="Nirmala UI Semilight" w:cs="Nirmala UI Semilight"/>
          <w:i/>
          <w:iCs/>
        </w:rPr>
        <w:t>do</w:t>
      </w:r>
      <w:proofErr w:type="gramEnd"/>
      <w:r>
        <w:rPr>
          <w:rFonts w:ascii="Nirmala UI Semilight" w:hAnsi="Nirmala UI Semilight" w:cs="Nirmala UI Semilight"/>
          <w:i/>
          <w:iCs/>
        </w:rPr>
        <w:t xml:space="preserve"> co-sponsors </w:t>
      </w:r>
    </w:p>
    <w:p w14:paraId="3C0ED273" w14:textId="77777777" w:rsidR="008130CE" w:rsidRPr="00F804DF" w:rsidRDefault="008130CE" w:rsidP="008130CE">
      <w:pPr>
        <w:spacing w:after="0" w:line="240" w:lineRule="exact"/>
        <w:ind w:left="1980"/>
        <w:rPr>
          <w:rFonts w:ascii="Nirmala UI Semilight" w:hAnsi="Nirmala UI Semilight" w:cs="Nirmala UI Semilight"/>
          <w:i/>
          <w:iCs/>
        </w:rPr>
      </w:pPr>
    </w:p>
    <w:p w14:paraId="1FAC5641" w14:textId="77777777" w:rsidR="008130CE" w:rsidRPr="006C7D80" w:rsidRDefault="008130CE" w:rsidP="008130CE">
      <w:pPr>
        <w:pStyle w:val="ListParagraph"/>
        <w:numPr>
          <w:ilvl w:val="1"/>
          <w:numId w:val="24"/>
        </w:numPr>
        <w:spacing w:after="0" w:line="240" w:lineRule="exact"/>
        <w:jc w:val="left"/>
        <w:rPr>
          <w:rFonts w:ascii="Nirmala UI Semilight" w:hAnsi="Nirmala UI Semilight" w:cs="Nirmala UI Semilight"/>
          <w:b/>
          <w:bCs/>
          <w:u w:val="single"/>
        </w:rPr>
      </w:pPr>
      <w:r w:rsidRPr="006C7D80">
        <w:rPr>
          <w:rFonts w:ascii="Nirmala UI Semilight" w:hAnsi="Nirmala UI Semilight" w:cs="Nirmala UI Semilight"/>
          <w:b/>
          <w:bCs/>
          <w:u w:val="single"/>
        </w:rPr>
        <w:t>Phase A – Divide Concepts into higher or lower priority</w:t>
      </w:r>
    </w:p>
    <w:p w14:paraId="3175B23D" w14:textId="77777777" w:rsidR="008130CE" w:rsidRDefault="008130CE" w:rsidP="008130CE">
      <w:pPr>
        <w:pStyle w:val="ListParagraph"/>
        <w:numPr>
          <w:ilvl w:val="2"/>
          <w:numId w:val="24"/>
        </w:numPr>
        <w:spacing w:after="0" w:line="240" w:lineRule="exact"/>
        <w:jc w:val="left"/>
        <w:rPr>
          <w:rFonts w:ascii="Nirmala UI Semilight" w:hAnsi="Nirmala UI Semilight" w:cs="Nirmala UI Semilight"/>
        </w:rPr>
      </w:pPr>
      <w:r w:rsidRPr="004E35B4">
        <w:rPr>
          <w:rFonts w:ascii="Nirmala UI Semilight" w:hAnsi="Nirmala UI Semilight" w:cs="Nirmala UI Semilight"/>
        </w:rPr>
        <w:t xml:space="preserve">PRC spent a few minutes prioritizing the CRFs through </w:t>
      </w:r>
      <w:proofErr w:type="spellStart"/>
      <w:r w:rsidRPr="004E35B4">
        <w:rPr>
          <w:rFonts w:ascii="Nirmala UI Semilight" w:hAnsi="Nirmala UI Semilight" w:cs="Nirmala UI Semilight"/>
        </w:rPr>
        <w:t>Slido</w:t>
      </w:r>
      <w:proofErr w:type="spellEnd"/>
      <w:r w:rsidRPr="004E35B4">
        <w:rPr>
          <w:rFonts w:ascii="Nirmala UI Semilight" w:hAnsi="Nirmala UI Semilight" w:cs="Nirmala UI Semilight"/>
        </w:rPr>
        <w:t xml:space="preserve"> </w:t>
      </w:r>
      <w:r>
        <w:rPr>
          <w:rFonts w:ascii="Nirmala UI Semilight" w:hAnsi="Nirmala UI Semilight" w:cs="Nirmala UI Semilight"/>
        </w:rPr>
        <w:t>and created the list below:</w:t>
      </w:r>
    </w:p>
    <w:p w14:paraId="0B439199" w14:textId="77777777" w:rsidR="008130CE" w:rsidRDefault="008130CE" w:rsidP="008130CE">
      <w:pPr>
        <w:pStyle w:val="ListParagraph"/>
        <w:spacing w:after="0" w:line="240" w:lineRule="exact"/>
        <w:ind w:left="2160"/>
        <w:rPr>
          <w:rFonts w:ascii="Nirmala UI Semilight" w:hAnsi="Nirmala UI Semilight" w:cs="Nirmala UI Semilight"/>
        </w:rPr>
      </w:pPr>
    </w:p>
    <w:tbl>
      <w:tblPr>
        <w:tblStyle w:val="TableGrid"/>
        <w:tblW w:w="0" w:type="auto"/>
        <w:tblInd w:w="1255" w:type="dxa"/>
        <w:tblLook w:val="04A0" w:firstRow="1" w:lastRow="0" w:firstColumn="1" w:lastColumn="0" w:noHBand="0" w:noVBand="1"/>
      </w:tblPr>
      <w:tblGrid>
        <w:gridCol w:w="1668"/>
        <w:gridCol w:w="4107"/>
        <w:gridCol w:w="1079"/>
        <w:gridCol w:w="1241"/>
      </w:tblGrid>
      <w:tr w:rsidR="008130CE" w14:paraId="1AEE57FB" w14:textId="77777777">
        <w:tc>
          <w:tcPr>
            <w:tcW w:w="1710" w:type="dxa"/>
            <w:tcBorders>
              <w:bottom w:val="single" w:sz="4" w:space="0" w:color="auto"/>
              <w:right w:val="dotted" w:sz="4" w:space="0" w:color="auto"/>
            </w:tcBorders>
            <w:shd w:val="clear" w:color="auto" w:fill="E8E8E8" w:themeFill="background2"/>
          </w:tcPr>
          <w:p w14:paraId="3A356057" w14:textId="77777777" w:rsidR="008130CE" w:rsidRPr="00D822B7" w:rsidRDefault="008130CE">
            <w:pPr>
              <w:spacing w:line="240" w:lineRule="exact"/>
              <w:rPr>
                <w:rFonts w:ascii="Nirmala UI Semilight" w:hAnsi="Nirmala UI Semilight" w:cs="Nirmala UI Semilight"/>
                <w:b/>
                <w:bCs/>
              </w:rPr>
            </w:pPr>
            <w:r w:rsidRPr="00D822B7">
              <w:rPr>
                <w:rFonts w:ascii="Nirmala UI Semilight" w:hAnsi="Nirmala UI Semilight" w:cs="Nirmala UI Semilight"/>
                <w:b/>
                <w:bCs/>
              </w:rPr>
              <w:t>CRF Number</w:t>
            </w:r>
          </w:p>
        </w:tc>
        <w:tc>
          <w:tcPr>
            <w:tcW w:w="4230" w:type="dxa"/>
            <w:tcBorders>
              <w:left w:val="dotted" w:sz="4" w:space="0" w:color="auto"/>
              <w:bottom w:val="single" w:sz="4" w:space="0" w:color="auto"/>
              <w:right w:val="dotted" w:sz="4" w:space="0" w:color="auto"/>
            </w:tcBorders>
            <w:shd w:val="clear" w:color="auto" w:fill="E8E8E8" w:themeFill="background2"/>
          </w:tcPr>
          <w:p w14:paraId="2CBDC791" w14:textId="77777777" w:rsidR="008130CE" w:rsidRPr="00D822B7" w:rsidRDefault="008130CE">
            <w:pPr>
              <w:spacing w:line="240" w:lineRule="exact"/>
              <w:rPr>
                <w:rFonts w:ascii="Nirmala UI Semilight" w:hAnsi="Nirmala UI Semilight" w:cs="Nirmala UI Semilight"/>
                <w:b/>
                <w:bCs/>
              </w:rPr>
            </w:pPr>
            <w:r w:rsidRPr="00D822B7">
              <w:rPr>
                <w:rFonts w:ascii="Nirmala UI Semilight" w:hAnsi="Nirmala UI Semilight" w:cs="Nirmala UI Semilight"/>
                <w:b/>
                <w:bCs/>
              </w:rPr>
              <w:t>Topic</w:t>
            </w:r>
          </w:p>
        </w:tc>
        <w:tc>
          <w:tcPr>
            <w:tcW w:w="1080" w:type="dxa"/>
            <w:tcBorders>
              <w:left w:val="dotted" w:sz="4" w:space="0" w:color="auto"/>
              <w:bottom w:val="single" w:sz="4" w:space="0" w:color="auto"/>
              <w:right w:val="dotted" w:sz="4" w:space="0" w:color="auto"/>
            </w:tcBorders>
            <w:shd w:val="clear" w:color="auto" w:fill="E8E8E8" w:themeFill="background2"/>
          </w:tcPr>
          <w:p w14:paraId="079DD6FA" w14:textId="77777777" w:rsidR="008130CE" w:rsidRPr="00D822B7" w:rsidRDefault="008130CE">
            <w:pPr>
              <w:spacing w:line="240" w:lineRule="exact"/>
              <w:rPr>
                <w:rFonts w:ascii="Nirmala UI Semilight" w:hAnsi="Nirmala UI Semilight" w:cs="Nirmala UI Semilight"/>
                <w:b/>
                <w:bCs/>
              </w:rPr>
            </w:pPr>
            <w:r w:rsidRPr="00D822B7">
              <w:rPr>
                <w:rFonts w:ascii="Nirmala UI Semilight" w:hAnsi="Nirmala UI Semilight" w:cs="Nirmala UI Semilight"/>
                <w:b/>
                <w:bCs/>
              </w:rPr>
              <w:t xml:space="preserve">Sponsor </w:t>
            </w:r>
          </w:p>
        </w:tc>
        <w:tc>
          <w:tcPr>
            <w:tcW w:w="1260" w:type="dxa"/>
            <w:tcBorders>
              <w:left w:val="dotted" w:sz="4" w:space="0" w:color="auto"/>
              <w:bottom w:val="single" w:sz="4" w:space="0" w:color="auto"/>
            </w:tcBorders>
            <w:shd w:val="clear" w:color="auto" w:fill="E8E8E8" w:themeFill="background2"/>
          </w:tcPr>
          <w:p w14:paraId="4D4CEB5E" w14:textId="77777777" w:rsidR="008130CE" w:rsidRPr="00D822B7" w:rsidRDefault="008130CE">
            <w:pPr>
              <w:spacing w:line="240" w:lineRule="exact"/>
              <w:rPr>
                <w:rFonts w:ascii="Nirmala UI Semilight" w:hAnsi="Nirmala UI Semilight" w:cs="Nirmala UI Semilight"/>
                <w:b/>
                <w:bCs/>
              </w:rPr>
            </w:pPr>
            <w:r>
              <w:rPr>
                <w:rFonts w:ascii="Nirmala UI Semilight" w:hAnsi="Nirmala UI Semilight" w:cs="Nirmala UI Semilight"/>
                <w:b/>
                <w:bCs/>
              </w:rPr>
              <w:t xml:space="preserve">Priority </w:t>
            </w:r>
          </w:p>
        </w:tc>
      </w:tr>
      <w:tr w:rsidR="008130CE" w14:paraId="2AE23E00" w14:textId="77777777">
        <w:tc>
          <w:tcPr>
            <w:tcW w:w="1710" w:type="dxa"/>
            <w:tcBorders>
              <w:bottom w:val="dotted" w:sz="4" w:space="0" w:color="auto"/>
              <w:right w:val="dotted" w:sz="4" w:space="0" w:color="auto"/>
            </w:tcBorders>
            <w:shd w:val="clear" w:color="auto" w:fill="D9F2D0" w:themeFill="accent6" w:themeFillTint="33"/>
            <w:vAlign w:val="bottom"/>
          </w:tcPr>
          <w:p w14:paraId="44B20210" w14:textId="77777777" w:rsidR="008130CE" w:rsidRDefault="008130CE">
            <w:pPr>
              <w:spacing w:line="240" w:lineRule="exact"/>
              <w:rPr>
                <w:rFonts w:ascii="Nirmala UI Semilight" w:hAnsi="Nirmala UI Semilight" w:cs="Nirmala UI Semilight"/>
              </w:rPr>
            </w:pPr>
            <w:r>
              <w:rPr>
                <w:rFonts w:ascii="Nirmala UI Semilight" w:hAnsi="Nirmala UI Semilight" w:cs="Nirmala UI Semilight"/>
              </w:rPr>
              <w:t>2024-</w:t>
            </w:r>
            <w:r w:rsidRPr="00D822B7">
              <w:rPr>
                <w:rFonts w:ascii="Nirmala UI Semilight" w:hAnsi="Nirmala UI Semilight" w:cs="Nirmala UI Semilight"/>
              </w:rPr>
              <w:t>CRF-05</w:t>
            </w:r>
          </w:p>
        </w:tc>
        <w:tc>
          <w:tcPr>
            <w:tcW w:w="4230" w:type="dxa"/>
            <w:tcBorders>
              <w:left w:val="dotted" w:sz="4" w:space="0" w:color="auto"/>
              <w:bottom w:val="dotted" w:sz="4" w:space="0" w:color="auto"/>
              <w:right w:val="dotted" w:sz="4" w:space="0" w:color="auto"/>
            </w:tcBorders>
            <w:shd w:val="clear" w:color="auto" w:fill="D9F2D0" w:themeFill="accent6" w:themeFillTint="33"/>
            <w:vAlign w:val="bottom"/>
          </w:tcPr>
          <w:p w14:paraId="7C05FD65" w14:textId="77777777" w:rsidR="008130CE" w:rsidRDefault="008130CE">
            <w:pPr>
              <w:spacing w:line="240" w:lineRule="exact"/>
              <w:rPr>
                <w:rFonts w:ascii="Nirmala UI Semilight" w:hAnsi="Nirmala UI Semilight" w:cs="Nirmala UI Semilight"/>
              </w:rPr>
            </w:pPr>
            <w:r>
              <w:rPr>
                <w:rFonts w:ascii="Nirmala UI Semilight" w:hAnsi="Nirmala UI Semilight" w:cs="Nirmala UI Semilight"/>
              </w:rPr>
              <w:t>L</w:t>
            </w:r>
            <w:r w:rsidRPr="00D822B7">
              <w:rPr>
                <w:rFonts w:ascii="Nirmala UI Semilight" w:hAnsi="Nirmala UI Semilight" w:cs="Nirmala UI Semilight"/>
              </w:rPr>
              <w:t>oad growth factor</w:t>
            </w:r>
          </w:p>
        </w:tc>
        <w:tc>
          <w:tcPr>
            <w:tcW w:w="1080" w:type="dxa"/>
            <w:tcBorders>
              <w:left w:val="dotted" w:sz="4" w:space="0" w:color="auto"/>
              <w:bottom w:val="dotted" w:sz="4" w:space="0" w:color="auto"/>
              <w:right w:val="dotted" w:sz="4" w:space="0" w:color="auto"/>
            </w:tcBorders>
            <w:shd w:val="clear" w:color="auto" w:fill="D9F2D0" w:themeFill="accent6" w:themeFillTint="33"/>
            <w:vAlign w:val="bottom"/>
          </w:tcPr>
          <w:p w14:paraId="0CD706E1" w14:textId="77777777" w:rsidR="008130CE" w:rsidRDefault="008130CE">
            <w:pPr>
              <w:spacing w:line="240" w:lineRule="exact"/>
              <w:rPr>
                <w:rFonts w:ascii="Nirmala UI Semilight" w:hAnsi="Nirmala UI Semilight" w:cs="Nirmala UI Semilight"/>
              </w:rPr>
            </w:pPr>
            <w:r w:rsidRPr="00114E37">
              <w:rPr>
                <w:rFonts w:ascii="Nirmala UI Semilight" w:hAnsi="Nirmala UI Semilight" w:cs="Nirmala UI Semilight"/>
              </w:rPr>
              <w:t>APS</w:t>
            </w:r>
          </w:p>
        </w:tc>
        <w:tc>
          <w:tcPr>
            <w:tcW w:w="1260" w:type="dxa"/>
            <w:vMerge w:val="restart"/>
            <w:tcBorders>
              <w:left w:val="dotted" w:sz="4" w:space="0" w:color="auto"/>
            </w:tcBorders>
            <w:shd w:val="clear" w:color="auto" w:fill="D9F2D0" w:themeFill="accent6" w:themeFillTint="33"/>
            <w:vAlign w:val="center"/>
          </w:tcPr>
          <w:p w14:paraId="302F8A88" w14:textId="77777777" w:rsidR="008130CE" w:rsidRPr="002A6DC1" w:rsidRDefault="008130CE">
            <w:pPr>
              <w:spacing w:line="240" w:lineRule="exact"/>
              <w:jc w:val="center"/>
              <w:rPr>
                <w:rFonts w:ascii="Nirmala UI Semilight" w:hAnsi="Nirmala UI Semilight" w:cs="Nirmala UI Semilight"/>
                <w:b/>
                <w:bCs/>
              </w:rPr>
            </w:pPr>
            <w:r w:rsidRPr="002A6DC1">
              <w:rPr>
                <w:rFonts w:ascii="Nirmala UI Semilight" w:hAnsi="Nirmala UI Semilight" w:cs="Nirmala UI Semilight"/>
                <w:b/>
                <w:bCs/>
              </w:rPr>
              <w:t>Top Half</w:t>
            </w:r>
          </w:p>
        </w:tc>
      </w:tr>
      <w:tr w:rsidR="008130CE" w14:paraId="3EA5907E" w14:textId="77777777">
        <w:tc>
          <w:tcPr>
            <w:tcW w:w="1710" w:type="dxa"/>
            <w:tcBorders>
              <w:top w:val="dotted" w:sz="4" w:space="0" w:color="auto"/>
              <w:left w:val="single" w:sz="4" w:space="0" w:color="auto"/>
              <w:bottom w:val="dotted" w:sz="4" w:space="0" w:color="auto"/>
              <w:right w:val="dotted" w:sz="4" w:space="0" w:color="auto"/>
            </w:tcBorders>
            <w:shd w:val="clear" w:color="auto" w:fill="D9F2D0" w:themeFill="accent6" w:themeFillTint="33"/>
            <w:vAlign w:val="bottom"/>
          </w:tcPr>
          <w:p w14:paraId="4471617D" w14:textId="77777777" w:rsidR="008130CE" w:rsidRDefault="008130CE">
            <w:pPr>
              <w:spacing w:line="240" w:lineRule="exact"/>
              <w:rPr>
                <w:rFonts w:ascii="Nirmala UI Semilight" w:hAnsi="Nirmala UI Semilight" w:cs="Nirmala UI Semilight"/>
              </w:rPr>
            </w:pPr>
            <w:r>
              <w:rPr>
                <w:rFonts w:ascii="Nirmala UI Semilight" w:hAnsi="Nirmala UI Semilight" w:cs="Nirmala UI Semilight"/>
              </w:rPr>
              <w:t>2024-</w:t>
            </w:r>
            <w:r w:rsidRPr="00D822B7">
              <w:rPr>
                <w:rFonts w:ascii="Nirmala UI Semilight" w:hAnsi="Nirmala UI Semilight" w:cs="Nirmala UI Semilight"/>
              </w:rPr>
              <w:t xml:space="preserve">CRF-01 </w:t>
            </w:r>
          </w:p>
        </w:tc>
        <w:tc>
          <w:tcPr>
            <w:tcW w:w="4230" w:type="dxa"/>
            <w:tcBorders>
              <w:top w:val="dotted" w:sz="4" w:space="0" w:color="auto"/>
              <w:left w:val="dotted" w:sz="4" w:space="0" w:color="auto"/>
              <w:bottom w:val="dotted" w:sz="4" w:space="0" w:color="auto"/>
              <w:right w:val="dotted" w:sz="4" w:space="0" w:color="auto"/>
            </w:tcBorders>
            <w:shd w:val="clear" w:color="auto" w:fill="D9F2D0" w:themeFill="accent6" w:themeFillTint="33"/>
            <w:vAlign w:val="bottom"/>
          </w:tcPr>
          <w:p w14:paraId="4CB5C9EF" w14:textId="77777777" w:rsidR="008130CE" w:rsidRDefault="008130CE">
            <w:pPr>
              <w:spacing w:line="240" w:lineRule="exact"/>
              <w:rPr>
                <w:rFonts w:ascii="Nirmala UI Semilight" w:hAnsi="Nirmala UI Semilight" w:cs="Nirmala UI Semilight"/>
              </w:rPr>
            </w:pPr>
            <w:r w:rsidRPr="00D822B7">
              <w:rPr>
                <w:rFonts w:ascii="Nirmala UI Semilight" w:hAnsi="Nirmala UI Semilight" w:cs="Nirmala UI Semilight"/>
              </w:rPr>
              <w:t>DAM Optimization/SWEDE TX Limits</w:t>
            </w:r>
          </w:p>
        </w:tc>
        <w:tc>
          <w:tcPr>
            <w:tcW w:w="1080" w:type="dxa"/>
            <w:tcBorders>
              <w:top w:val="dotted" w:sz="4" w:space="0" w:color="auto"/>
              <w:left w:val="dotted" w:sz="4" w:space="0" w:color="auto"/>
              <w:bottom w:val="dotted" w:sz="4" w:space="0" w:color="auto"/>
              <w:right w:val="dotted" w:sz="4" w:space="0" w:color="auto"/>
            </w:tcBorders>
            <w:shd w:val="clear" w:color="auto" w:fill="D9F2D0" w:themeFill="accent6" w:themeFillTint="33"/>
            <w:vAlign w:val="bottom"/>
          </w:tcPr>
          <w:p w14:paraId="7510A146" w14:textId="77777777" w:rsidR="008130CE" w:rsidRDefault="008130CE">
            <w:pPr>
              <w:spacing w:line="240" w:lineRule="exact"/>
              <w:rPr>
                <w:rFonts w:ascii="Nirmala UI Semilight" w:hAnsi="Nirmala UI Semilight" w:cs="Nirmala UI Semilight"/>
              </w:rPr>
            </w:pPr>
            <w:r w:rsidRPr="00114E37">
              <w:rPr>
                <w:rFonts w:ascii="Nirmala UI Semilight" w:hAnsi="Nirmala UI Semilight" w:cs="Nirmala UI Semilight"/>
              </w:rPr>
              <w:t>NVE</w:t>
            </w:r>
          </w:p>
        </w:tc>
        <w:tc>
          <w:tcPr>
            <w:tcW w:w="1260" w:type="dxa"/>
            <w:vMerge/>
            <w:tcBorders>
              <w:left w:val="dotted" w:sz="4" w:space="0" w:color="auto"/>
            </w:tcBorders>
            <w:shd w:val="clear" w:color="auto" w:fill="D9F2D0" w:themeFill="accent6" w:themeFillTint="33"/>
          </w:tcPr>
          <w:p w14:paraId="1A07F743" w14:textId="77777777" w:rsidR="008130CE" w:rsidRDefault="008130CE">
            <w:pPr>
              <w:spacing w:line="240" w:lineRule="exact"/>
              <w:rPr>
                <w:rFonts w:ascii="Nirmala UI Semilight" w:hAnsi="Nirmala UI Semilight" w:cs="Nirmala UI Semilight"/>
              </w:rPr>
            </w:pPr>
          </w:p>
        </w:tc>
      </w:tr>
      <w:tr w:rsidR="008130CE" w14:paraId="5CD54AD1" w14:textId="77777777">
        <w:tc>
          <w:tcPr>
            <w:tcW w:w="1710" w:type="dxa"/>
            <w:tcBorders>
              <w:top w:val="dotted" w:sz="4" w:space="0" w:color="auto"/>
              <w:left w:val="single" w:sz="4" w:space="0" w:color="auto"/>
              <w:bottom w:val="dotted" w:sz="4" w:space="0" w:color="auto"/>
              <w:right w:val="dotted" w:sz="4" w:space="0" w:color="auto"/>
            </w:tcBorders>
            <w:shd w:val="clear" w:color="auto" w:fill="D9F2D0" w:themeFill="accent6" w:themeFillTint="33"/>
            <w:vAlign w:val="bottom"/>
          </w:tcPr>
          <w:p w14:paraId="70A512BA" w14:textId="77777777" w:rsidR="008130CE" w:rsidRPr="00D822B7" w:rsidRDefault="008130CE">
            <w:pPr>
              <w:spacing w:line="240" w:lineRule="exact"/>
              <w:rPr>
                <w:rFonts w:ascii="Nirmala UI Semilight" w:hAnsi="Nirmala UI Semilight" w:cs="Nirmala UI Semilight"/>
              </w:rPr>
            </w:pPr>
            <w:r>
              <w:rPr>
                <w:rFonts w:ascii="Nirmala UI Semilight" w:hAnsi="Nirmala UI Semilight" w:cs="Nirmala UI Semilight"/>
              </w:rPr>
              <w:t>2024-</w:t>
            </w:r>
            <w:r w:rsidRPr="00D822B7">
              <w:rPr>
                <w:rFonts w:ascii="Nirmala UI Semilight" w:hAnsi="Nirmala UI Semilight" w:cs="Nirmala UI Semilight"/>
              </w:rPr>
              <w:t xml:space="preserve">CRF-08 </w:t>
            </w:r>
          </w:p>
        </w:tc>
        <w:tc>
          <w:tcPr>
            <w:tcW w:w="4230" w:type="dxa"/>
            <w:tcBorders>
              <w:top w:val="dotted" w:sz="4" w:space="0" w:color="auto"/>
              <w:left w:val="dotted" w:sz="4" w:space="0" w:color="auto"/>
              <w:bottom w:val="dotted" w:sz="4" w:space="0" w:color="auto"/>
              <w:right w:val="dotted" w:sz="4" w:space="0" w:color="auto"/>
            </w:tcBorders>
            <w:shd w:val="clear" w:color="auto" w:fill="D9F2D0" w:themeFill="accent6" w:themeFillTint="33"/>
            <w:vAlign w:val="bottom"/>
          </w:tcPr>
          <w:p w14:paraId="07CC6B6D" w14:textId="77777777" w:rsidR="008130CE" w:rsidRDefault="008130CE">
            <w:pPr>
              <w:spacing w:line="240" w:lineRule="exact"/>
              <w:rPr>
                <w:rFonts w:ascii="Nirmala UI Semilight" w:hAnsi="Nirmala UI Semilight" w:cs="Nirmala UI Semilight"/>
              </w:rPr>
            </w:pPr>
            <w:r>
              <w:rPr>
                <w:rFonts w:ascii="Nirmala UI Semilight" w:hAnsi="Nirmala UI Semilight" w:cs="Nirmala UI Semilight"/>
              </w:rPr>
              <w:t>CAISO Firm Tx</w:t>
            </w:r>
          </w:p>
        </w:tc>
        <w:tc>
          <w:tcPr>
            <w:tcW w:w="1080" w:type="dxa"/>
            <w:tcBorders>
              <w:top w:val="dotted" w:sz="4" w:space="0" w:color="auto"/>
              <w:left w:val="dotted" w:sz="4" w:space="0" w:color="auto"/>
              <w:bottom w:val="dotted" w:sz="4" w:space="0" w:color="auto"/>
              <w:right w:val="dotted" w:sz="4" w:space="0" w:color="auto"/>
            </w:tcBorders>
            <w:shd w:val="clear" w:color="auto" w:fill="D9F2D0" w:themeFill="accent6" w:themeFillTint="33"/>
            <w:vAlign w:val="bottom"/>
          </w:tcPr>
          <w:p w14:paraId="4841DFD5" w14:textId="77777777" w:rsidR="008130CE" w:rsidRPr="00114E37" w:rsidRDefault="008130CE">
            <w:pPr>
              <w:spacing w:line="240" w:lineRule="exact"/>
              <w:rPr>
                <w:rFonts w:ascii="Aptos Narrow" w:hAnsi="Aptos Narrow"/>
                <w:color w:val="000000"/>
              </w:rPr>
            </w:pPr>
            <w:r>
              <w:rPr>
                <w:rFonts w:ascii="Aptos Narrow" w:hAnsi="Aptos Narrow"/>
                <w:color w:val="000000"/>
              </w:rPr>
              <w:t>SRP</w:t>
            </w:r>
          </w:p>
        </w:tc>
        <w:tc>
          <w:tcPr>
            <w:tcW w:w="1260" w:type="dxa"/>
            <w:vMerge/>
            <w:tcBorders>
              <w:left w:val="dotted" w:sz="4" w:space="0" w:color="auto"/>
            </w:tcBorders>
            <w:shd w:val="clear" w:color="auto" w:fill="D9F2D0" w:themeFill="accent6" w:themeFillTint="33"/>
          </w:tcPr>
          <w:p w14:paraId="2234C0CD" w14:textId="77777777" w:rsidR="008130CE" w:rsidRDefault="008130CE">
            <w:pPr>
              <w:spacing w:line="240" w:lineRule="exact"/>
              <w:rPr>
                <w:rFonts w:ascii="Nirmala UI Semilight" w:hAnsi="Nirmala UI Semilight" w:cs="Nirmala UI Semilight"/>
              </w:rPr>
            </w:pPr>
          </w:p>
        </w:tc>
      </w:tr>
      <w:tr w:rsidR="008130CE" w14:paraId="60003050" w14:textId="77777777">
        <w:tc>
          <w:tcPr>
            <w:tcW w:w="1710" w:type="dxa"/>
            <w:tcBorders>
              <w:top w:val="dotted" w:sz="4" w:space="0" w:color="auto"/>
              <w:left w:val="single" w:sz="4" w:space="0" w:color="auto"/>
              <w:bottom w:val="dotted" w:sz="4" w:space="0" w:color="auto"/>
              <w:right w:val="dotted" w:sz="4" w:space="0" w:color="auto"/>
            </w:tcBorders>
            <w:shd w:val="clear" w:color="auto" w:fill="D9F2D0" w:themeFill="accent6" w:themeFillTint="33"/>
            <w:vAlign w:val="bottom"/>
          </w:tcPr>
          <w:p w14:paraId="7DA425AA" w14:textId="77777777" w:rsidR="008130CE" w:rsidRDefault="008130CE">
            <w:pPr>
              <w:spacing w:line="240" w:lineRule="exact"/>
              <w:rPr>
                <w:rFonts w:ascii="Nirmala UI Semilight" w:hAnsi="Nirmala UI Semilight" w:cs="Nirmala UI Semilight"/>
              </w:rPr>
            </w:pPr>
            <w:r>
              <w:rPr>
                <w:rFonts w:ascii="Nirmala UI Semilight" w:hAnsi="Nirmala UI Semilight" w:cs="Nirmala UI Semilight"/>
              </w:rPr>
              <w:t>2024-</w:t>
            </w:r>
            <w:r w:rsidRPr="00D822B7">
              <w:rPr>
                <w:rFonts w:ascii="Nirmala UI Semilight" w:hAnsi="Nirmala UI Semilight" w:cs="Nirmala UI Semilight"/>
              </w:rPr>
              <w:t xml:space="preserve">CRF- 12 </w:t>
            </w:r>
          </w:p>
        </w:tc>
        <w:tc>
          <w:tcPr>
            <w:tcW w:w="4230" w:type="dxa"/>
            <w:tcBorders>
              <w:top w:val="dotted" w:sz="4" w:space="0" w:color="auto"/>
              <w:left w:val="dotted" w:sz="4" w:space="0" w:color="auto"/>
              <w:bottom w:val="dotted" w:sz="4" w:space="0" w:color="auto"/>
              <w:right w:val="dotted" w:sz="4" w:space="0" w:color="auto"/>
            </w:tcBorders>
            <w:shd w:val="clear" w:color="auto" w:fill="D9F2D0" w:themeFill="accent6" w:themeFillTint="33"/>
            <w:vAlign w:val="bottom"/>
          </w:tcPr>
          <w:p w14:paraId="1D45E09F" w14:textId="77777777" w:rsidR="008130CE" w:rsidRDefault="008130CE">
            <w:pPr>
              <w:spacing w:line="240" w:lineRule="exact"/>
              <w:rPr>
                <w:rFonts w:ascii="Nirmala UI Semilight" w:hAnsi="Nirmala UI Semilight" w:cs="Nirmala UI Semilight"/>
              </w:rPr>
            </w:pPr>
            <w:r>
              <w:rPr>
                <w:rFonts w:ascii="Nirmala UI Semilight" w:hAnsi="Nirmala UI Semilight" w:cs="Nirmala UI Semilight"/>
              </w:rPr>
              <w:t>ELCC by Vintage/ Indicative QCC for LTS</w:t>
            </w:r>
          </w:p>
        </w:tc>
        <w:tc>
          <w:tcPr>
            <w:tcW w:w="1080" w:type="dxa"/>
            <w:tcBorders>
              <w:top w:val="dotted" w:sz="4" w:space="0" w:color="auto"/>
              <w:left w:val="dotted" w:sz="4" w:space="0" w:color="auto"/>
              <w:bottom w:val="dotted" w:sz="4" w:space="0" w:color="auto"/>
              <w:right w:val="dotted" w:sz="4" w:space="0" w:color="auto"/>
            </w:tcBorders>
            <w:shd w:val="clear" w:color="auto" w:fill="D9F2D0" w:themeFill="accent6" w:themeFillTint="33"/>
            <w:vAlign w:val="bottom"/>
          </w:tcPr>
          <w:p w14:paraId="1CC702F7" w14:textId="77777777" w:rsidR="008130CE" w:rsidRPr="00114E37" w:rsidRDefault="008130CE">
            <w:pPr>
              <w:spacing w:line="240" w:lineRule="exact"/>
              <w:rPr>
                <w:rFonts w:ascii="Aptos Narrow" w:hAnsi="Aptos Narrow"/>
                <w:color w:val="000000"/>
              </w:rPr>
            </w:pPr>
            <w:r>
              <w:rPr>
                <w:rFonts w:ascii="Aptos Narrow" w:hAnsi="Aptos Narrow"/>
                <w:color w:val="000000"/>
              </w:rPr>
              <w:t>APS</w:t>
            </w:r>
          </w:p>
        </w:tc>
        <w:tc>
          <w:tcPr>
            <w:tcW w:w="1260" w:type="dxa"/>
            <w:vMerge/>
            <w:tcBorders>
              <w:left w:val="dotted" w:sz="4" w:space="0" w:color="auto"/>
            </w:tcBorders>
            <w:shd w:val="clear" w:color="auto" w:fill="D9F2D0" w:themeFill="accent6" w:themeFillTint="33"/>
          </w:tcPr>
          <w:p w14:paraId="19C970FC" w14:textId="77777777" w:rsidR="008130CE" w:rsidRDefault="008130CE">
            <w:pPr>
              <w:spacing w:line="240" w:lineRule="exact"/>
              <w:rPr>
                <w:rFonts w:ascii="Nirmala UI Semilight" w:hAnsi="Nirmala UI Semilight" w:cs="Nirmala UI Semilight"/>
              </w:rPr>
            </w:pPr>
          </w:p>
        </w:tc>
      </w:tr>
      <w:tr w:rsidR="008130CE" w14:paraId="7B3A3E1F" w14:textId="77777777">
        <w:tc>
          <w:tcPr>
            <w:tcW w:w="1710" w:type="dxa"/>
            <w:tcBorders>
              <w:top w:val="dotted" w:sz="4" w:space="0" w:color="auto"/>
              <w:left w:val="single" w:sz="4" w:space="0" w:color="auto"/>
              <w:bottom w:val="dotted" w:sz="4" w:space="0" w:color="auto"/>
              <w:right w:val="dotted" w:sz="4" w:space="0" w:color="auto"/>
            </w:tcBorders>
            <w:shd w:val="clear" w:color="auto" w:fill="D9F2D0" w:themeFill="accent6" w:themeFillTint="33"/>
            <w:vAlign w:val="bottom"/>
          </w:tcPr>
          <w:p w14:paraId="024A52D2" w14:textId="77777777" w:rsidR="008130CE" w:rsidRDefault="008130CE">
            <w:pPr>
              <w:spacing w:line="240" w:lineRule="exact"/>
              <w:rPr>
                <w:rFonts w:ascii="Nirmala UI Semilight" w:hAnsi="Nirmala UI Semilight" w:cs="Nirmala UI Semilight"/>
              </w:rPr>
            </w:pPr>
            <w:r>
              <w:rPr>
                <w:rFonts w:ascii="Nirmala UI Semilight" w:hAnsi="Nirmala UI Semilight" w:cs="Nirmala UI Semilight"/>
              </w:rPr>
              <w:t>2024-</w:t>
            </w:r>
            <w:r w:rsidRPr="00D822B7">
              <w:rPr>
                <w:rFonts w:ascii="Nirmala UI Semilight" w:hAnsi="Nirmala UI Semilight" w:cs="Nirmala UI Semilight"/>
              </w:rPr>
              <w:t xml:space="preserve">CRF-02 </w:t>
            </w:r>
          </w:p>
        </w:tc>
        <w:tc>
          <w:tcPr>
            <w:tcW w:w="4230" w:type="dxa"/>
            <w:tcBorders>
              <w:top w:val="dotted" w:sz="4" w:space="0" w:color="auto"/>
              <w:left w:val="dotted" w:sz="4" w:space="0" w:color="auto"/>
              <w:bottom w:val="dotted" w:sz="4" w:space="0" w:color="auto"/>
              <w:right w:val="dotted" w:sz="4" w:space="0" w:color="auto"/>
            </w:tcBorders>
            <w:shd w:val="clear" w:color="auto" w:fill="D9F2D0" w:themeFill="accent6" w:themeFillTint="33"/>
            <w:vAlign w:val="bottom"/>
          </w:tcPr>
          <w:p w14:paraId="7857E906" w14:textId="77777777" w:rsidR="008130CE" w:rsidRDefault="008130CE">
            <w:pPr>
              <w:spacing w:line="240" w:lineRule="exact"/>
              <w:rPr>
                <w:rFonts w:ascii="Nirmala UI Semilight" w:hAnsi="Nirmala UI Semilight" w:cs="Nirmala UI Semilight"/>
              </w:rPr>
            </w:pPr>
            <w:r w:rsidRPr="00734F03">
              <w:rPr>
                <w:rFonts w:ascii="Nirmala UI Semilight" w:hAnsi="Nirmala UI Semilight" w:cs="Nirmala UI Semilight"/>
              </w:rPr>
              <w:t>Earlier FS Metrics/ Monthly Volatility</w:t>
            </w:r>
          </w:p>
        </w:tc>
        <w:tc>
          <w:tcPr>
            <w:tcW w:w="1080" w:type="dxa"/>
            <w:tcBorders>
              <w:top w:val="dotted" w:sz="4" w:space="0" w:color="auto"/>
              <w:left w:val="dotted" w:sz="4" w:space="0" w:color="auto"/>
              <w:bottom w:val="dotted" w:sz="4" w:space="0" w:color="auto"/>
              <w:right w:val="dotted" w:sz="4" w:space="0" w:color="auto"/>
            </w:tcBorders>
            <w:shd w:val="clear" w:color="auto" w:fill="D9F2D0" w:themeFill="accent6" w:themeFillTint="33"/>
            <w:vAlign w:val="bottom"/>
          </w:tcPr>
          <w:p w14:paraId="5F9387DC" w14:textId="77777777" w:rsidR="008130CE" w:rsidRPr="00114E37" w:rsidRDefault="008130CE">
            <w:pPr>
              <w:spacing w:line="240" w:lineRule="exact"/>
              <w:rPr>
                <w:rFonts w:ascii="Aptos Narrow" w:hAnsi="Aptos Narrow"/>
                <w:color w:val="000000"/>
              </w:rPr>
            </w:pPr>
            <w:r>
              <w:rPr>
                <w:rFonts w:ascii="Aptos Narrow" w:hAnsi="Aptos Narrow"/>
                <w:color w:val="000000"/>
              </w:rPr>
              <w:t>NVE</w:t>
            </w:r>
          </w:p>
        </w:tc>
        <w:tc>
          <w:tcPr>
            <w:tcW w:w="1260" w:type="dxa"/>
            <w:vMerge/>
            <w:tcBorders>
              <w:left w:val="dotted" w:sz="4" w:space="0" w:color="auto"/>
            </w:tcBorders>
            <w:shd w:val="clear" w:color="auto" w:fill="D9F2D0" w:themeFill="accent6" w:themeFillTint="33"/>
          </w:tcPr>
          <w:p w14:paraId="39CFFD6E" w14:textId="77777777" w:rsidR="008130CE" w:rsidRDefault="008130CE">
            <w:pPr>
              <w:spacing w:line="240" w:lineRule="exact"/>
              <w:rPr>
                <w:rFonts w:ascii="Nirmala UI Semilight" w:hAnsi="Nirmala UI Semilight" w:cs="Nirmala UI Semilight"/>
              </w:rPr>
            </w:pPr>
          </w:p>
        </w:tc>
      </w:tr>
      <w:tr w:rsidR="008130CE" w14:paraId="6C709AD5" w14:textId="77777777">
        <w:tc>
          <w:tcPr>
            <w:tcW w:w="1710" w:type="dxa"/>
            <w:tcBorders>
              <w:top w:val="dotted" w:sz="4" w:space="0" w:color="auto"/>
              <w:left w:val="single" w:sz="4" w:space="0" w:color="auto"/>
              <w:bottom w:val="dotted" w:sz="4" w:space="0" w:color="auto"/>
              <w:right w:val="dotted" w:sz="4" w:space="0" w:color="auto"/>
            </w:tcBorders>
            <w:shd w:val="clear" w:color="auto" w:fill="D9F2D0" w:themeFill="accent6" w:themeFillTint="33"/>
            <w:vAlign w:val="bottom"/>
          </w:tcPr>
          <w:p w14:paraId="046E3150" w14:textId="77777777" w:rsidR="008130CE" w:rsidRPr="00D822B7" w:rsidRDefault="008130CE">
            <w:pPr>
              <w:spacing w:line="240" w:lineRule="exact"/>
              <w:rPr>
                <w:rFonts w:ascii="Nirmala UI Semilight" w:hAnsi="Nirmala UI Semilight" w:cs="Nirmala UI Semilight"/>
              </w:rPr>
            </w:pPr>
            <w:r>
              <w:rPr>
                <w:rFonts w:ascii="Nirmala UI Semilight" w:hAnsi="Nirmala UI Semilight" w:cs="Nirmala UI Semilight"/>
              </w:rPr>
              <w:t>2024-</w:t>
            </w:r>
            <w:r w:rsidRPr="00E73BEB">
              <w:rPr>
                <w:rFonts w:ascii="Nirmala UI Semilight" w:hAnsi="Nirmala UI Semilight" w:cs="Nirmala UI Semilight"/>
              </w:rPr>
              <w:t>CRF-24</w:t>
            </w:r>
          </w:p>
        </w:tc>
        <w:tc>
          <w:tcPr>
            <w:tcW w:w="4230" w:type="dxa"/>
            <w:tcBorders>
              <w:top w:val="dotted" w:sz="4" w:space="0" w:color="auto"/>
              <w:left w:val="dotted" w:sz="4" w:space="0" w:color="auto"/>
              <w:bottom w:val="dotted" w:sz="4" w:space="0" w:color="auto"/>
              <w:right w:val="dotted" w:sz="4" w:space="0" w:color="auto"/>
            </w:tcBorders>
            <w:shd w:val="clear" w:color="auto" w:fill="D9F2D0" w:themeFill="accent6" w:themeFillTint="33"/>
            <w:vAlign w:val="bottom"/>
          </w:tcPr>
          <w:p w14:paraId="12667BE5" w14:textId="77777777" w:rsidR="008130CE" w:rsidRDefault="008130CE">
            <w:pPr>
              <w:spacing w:line="240" w:lineRule="exact"/>
              <w:rPr>
                <w:rFonts w:ascii="Nirmala UI Semilight" w:hAnsi="Nirmala UI Semilight" w:cs="Nirmala UI Semilight"/>
              </w:rPr>
            </w:pPr>
            <w:r>
              <w:rPr>
                <w:rFonts w:ascii="Nirmala UI Semilight" w:hAnsi="Nirmala UI Semilight" w:cs="Nirmala UI Semilight"/>
              </w:rPr>
              <w:t>Flat Load an PRMs</w:t>
            </w:r>
          </w:p>
        </w:tc>
        <w:tc>
          <w:tcPr>
            <w:tcW w:w="1080" w:type="dxa"/>
            <w:tcBorders>
              <w:top w:val="dotted" w:sz="4" w:space="0" w:color="auto"/>
              <w:left w:val="dotted" w:sz="4" w:space="0" w:color="auto"/>
              <w:bottom w:val="dotted" w:sz="4" w:space="0" w:color="auto"/>
              <w:right w:val="dotted" w:sz="4" w:space="0" w:color="auto"/>
            </w:tcBorders>
            <w:shd w:val="clear" w:color="auto" w:fill="D9F2D0" w:themeFill="accent6" w:themeFillTint="33"/>
            <w:vAlign w:val="bottom"/>
          </w:tcPr>
          <w:p w14:paraId="00ABABA7" w14:textId="77777777" w:rsidR="008130CE" w:rsidRDefault="008130CE">
            <w:pPr>
              <w:spacing w:line="240" w:lineRule="exact"/>
              <w:rPr>
                <w:rFonts w:ascii="Nirmala UI Semilight" w:hAnsi="Nirmala UI Semilight" w:cs="Nirmala UI Semilight"/>
              </w:rPr>
            </w:pPr>
            <w:r w:rsidRPr="00114E37">
              <w:rPr>
                <w:rFonts w:ascii="Nirmala UI Semilight" w:hAnsi="Nirmala UI Semilight" w:cs="Nirmala UI Semilight"/>
              </w:rPr>
              <w:t>PAC</w:t>
            </w:r>
          </w:p>
        </w:tc>
        <w:tc>
          <w:tcPr>
            <w:tcW w:w="1260" w:type="dxa"/>
            <w:vMerge/>
            <w:tcBorders>
              <w:left w:val="dotted" w:sz="4" w:space="0" w:color="auto"/>
            </w:tcBorders>
            <w:shd w:val="clear" w:color="auto" w:fill="D9F2D0" w:themeFill="accent6" w:themeFillTint="33"/>
          </w:tcPr>
          <w:p w14:paraId="54E4E6A1" w14:textId="77777777" w:rsidR="008130CE" w:rsidRDefault="008130CE">
            <w:pPr>
              <w:spacing w:line="240" w:lineRule="exact"/>
              <w:rPr>
                <w:rFonts w:ascii="Nirmala UI Semilight" w:hAnsi="Nirmala UI Semilight" w:cs="Nirmala UI Semilight"/>
              </w:rPr>
            </w:pPr>
          </w:p>
        </w:tc>
      </w:tr>
      <w:tr w:rsidR="008130CE" w14:paraId="3A23C086" w14:textId="77777777">
        <w:trPr>
          <w:trHeight w:val="215"/>
        </w:trPr>
        <w:tc>
          <w:tcPr>
            <w:tcW w:w="1710" w:type="dxa"/>
            <w:tcBorders>
              <w:top w:val="dotted" w:sz="4" w:space="0" w:color="auto"/>
              <w:bottom w:val="dotted" w:sz="4" w:space="0" w:color="auto"/>
              <w:right w:val="dotted" w:sz="4" w:space="0" w:color="auto"/>
            </w:tcBorders>
            <w:shd w:val="clear" w:color="auto" w:fill="D9F2D0" w:themeFill="accent6" w:themeFillTint="33"/>
            <w:vAlign w:val="bottom"/>
          </w:tcPr>
          <w:p w14:paraId="36F0DBB5" w14:textId="77777777" w:rsidR="008130CE" w:rsidRPr="00E73BEB" w:rsidRDefault="008130CE">
            <w:pPr>
              <w:spacing w:line="240" w:lineRule="exact"/>
              <w:rPr>
                <w:rFonts w:ascii="Nirmala UI Semilight" w:hAnsi="Nirmala UI Semilight" w:cs="Nirmala UI Semilight"/>
              </w:rPr>
            </w:pPr>
            <w:r>
              <w:rPr>
                <w:rFonts w:ascii="Nirmala UI Semilight" w:hAnsi="Nirmala UI Semilight" w:cs="Nirmala UI Semilight"/>
              </w:rPr>
              <w:t>2024-</w:t>
            </w:r>
            <w:r w:rsidRPr="00E73BEB">
              <w:rPr>
                <w:rFonts w:ascii="Nirmala UI Semilight" w:hAnsi="Nirmala UI Semilight" w:cs="Nirmala UI Semilight"/>
              </w:rPr>
              <w:t>CRF-03</w:t>
            </w:r>
          </w:p>
        </w:tc>
        <w:tc>
          <w:tcPr>
            <w:tcW w:w="4230" w:type="dxa"/>
            <w:tcBorders>
              <w:top w:val="dotted" w:sz="4" w:space="0" w:color="auto"/>
              <w:left w:val="dotted" w:sz="4" w:space="0" w:color="auto"/>
              <w:bottom w:val="dotted" w:sz="4" w:space="0" w:color="auto"/>
              <w:right w:val="dotted" w:sz="4" w:space="0" w:color="auto"/>
            </w:tcBorders>
            <w:shd w:val="clear" w:color="auto" w:fill="D9F2D0" w:themeFill="accent6" w:themeFillTint="33"/>
            <w:vAlign w:val="bottom"/>
          </w:tcPr>
          <w:p w14:paraId="5129922F" w14:textId="77777777" w:rsidR="008130CE" w:rsidRDefault="008130CE">
            <w:pPr>
              <w:spacing w:line="240" w:lineRule="exact"/>
              <w:rPr>
                <w:rFonts w:ascii="Nirmala UI Semilight" w:hAnsi="Nirmala UI Semilight" w:cs="Nirmala UI Semilight"/>
              </w:rPr>
            </w:pPr>
            <w:r w:rsidRPr="00310E77">
              <w:rPr>
                <w:rFonts w:ascii="Nirmala UI Semilight" w:hAnsi="Nirmala UI Semilight" w:cs="Nirmala UI Semilight"/>
              </w:rPr>
              <w:t>Demand Response QCC</w:t>
            </w:r>
          </w:p>
        </w:tc>
        <w:tc>
          <w:tcPr>
            <w:tcW w:w="1080" w:type="dxa"/>
            <w:tcBorders>
              <w:top w:val="dotted" w:sz="4" w:space="0" w:color="auto"/>
              <w:left w:val="dotted" w:sz="4" w:space="0" w:color="auto"/>
              <w:bottom w:val="dotted" w:sz="4" w:space="0" w:color="auto"/>
              <w:right w:val="dotted" w:sz="4" w:space="0" w:color="auto"/>
            </w:tcBorders>
            <w:shd w:val="clear" w:color="auto" w:fill="D9F2D0" w:themeFill="accent6" w:themeFillTint="33"/>
            <w:vAlign w:val="bottom"/>
          </w:tcPr>
          <w:p w14:paraId="42D9F056" w14:textId="77777777" w:rsidR="008130CE" w:rsidRPr="00114E37" w:rsidRDefault="008130CE">
            <w:pPr>
              <w:spacing w:line="240" w:lineRule="exact"/>
              <w:rPr>
                <w:rFonts w:ascii="Aptos Narrow" w:hAnsi="Aptos Narrow"/>
                <w:color w:val="000000"/>
              </w:rPr>
            </w:pPr>
            <w:r>
              <w:rPr>
                <w:rFonts w:ascii="Aptos Narrow" w:hAnsi="Aptos Narrow"/>
                <w:color w:val="000000"/>
              </w:rPr>
              <w:t>APS</w:t>
            </w:r>
          </w:p>
        </w:tc>
        <w:tc>
          <w:tcPr>
            <w:tcW w:w="1260" w:type="dxa"/>
            <w:vMerge/>
            <w:tcBorders>
              <w:left w:val="dotted" w:sz="4" w:space="0" w:color="auto"/>
            </w:tcBorders>
            <w:shd w:val="clear" w:color="auto" w:fill="D9F2D0" w:themeFill="accent6" w:themeFillTint="33"/>
          </w:tcPr>
          <w:p w14:paraId="3DE5F639" w14:textId="77777777" w:rsidR="008130CE" w:rsidRDefault="008130CE">
            <w:pPr>
              <w:spacing w:line="240" w:lineRule="exact"/>
              <w:rPr>
                <w:rFonts w:ascii="Nirmala UI Semilight" w:hAnsi="Nirmala UI Semilight" w:cs="Nirmala UI Semilight"/>
              </w:rPr>
            </w:pPr>
          </w:p>
        </w:tc>
      </w:tr>
      <w:tr w:rsidR="008130CE" w14:paraId="17B4D225" w14:textId="77777777">
        <w:tc>
          <w:tcPr>
            <w:tcW w:w="1710" w:type="dxa"/>
            <w:tcBorders>
              <w:top w:val="dotted" w:sz="4" w:space="0" w:color="auto"/>
              <w:bottom w:val="single" w:sz="12" w:space="0" w:color="auto"/>
              <w:right w:val="dotted" w:sz="4" w:space="0" w:color="auto"/>
            </w:tcBorders>
            <w:shd w:val="clear" w:color="auto" w:fill="D9F2D0" w:themeFill="accent6" w:themeFillTint="33"/>
            <w:vAlign w:val="bottom"/>
          </w:tcPr>
          <w:p w14:paraId="089DAA07" w14:textId="77777777" w:rsidR="008130CE" w:rsidRPr="00E73BEB" w:rsidRDefault="008130CE">
            <w:pPr>
              <w:spacing w:line="240" w:lineRule="exact"/>
              <w:rPr>
                <w:rFonts w:ascii="Nirmala UI Semilight" w:hAnsi="Nirmala UI Semilight" w:cs="Nirmala UI Semilight"/>
              </w:rPr>
            </w:pPr>
            <w:r>
              <w:rPr>
                <w:rFonts w:ascii="Nirmala UI Semilight" w:hAnsi="Nirmala UI Semilight" w:cs="Nirmala UI Semilight"/>
              </w:rPr>
              <w:t>2024-</w:t>
            </w:r>
            <w:r w:rsidRPr="00E73BEB">
              <w:rPr>
                <w:rFonts w:ascii="Nirmala UI Semilight" w:hAnsi="Nirmala UI Semilight" w:cs="Nirmala UI Semilight"/>
              </w:rPr>
              <w:t>CRF-14</w:t>
            </w:r>
          </w:p>
        </w:tc>
        <w:tc>
          <w:tcPr>
            <w:tcW w:w="4230" w:type="dxa"/>
            <w:tcBorders>
              <w:top w:val="dotted" w:sz="4" w:space="0" w:color="auto"/>
              <w:left w:val="dotted" w:sz="4" w:space="0" w:color="auto"/>
              <w:bottom w:val="single" w:sz="12" w:space="0" w:color="auto"/>
              <w:right w:val="dotted" w:sz="4" w:space="0" w:color="auto"/>
            </w:tcBorders>
            <w:shd w:val="clear" w:color="auto" w:fill="D9F2D0" w:themeFill="accent6" w:themeFillTint="33"/>
            <w:vAlign w:val="bottom"/>
          </w:tcPr>
          <w:p w14:paraId="23907DC0" w14:textId="77777777" w:rsidR="008130CE" w:rsidRDefault="008130CE">
            <w:pPr>
              <w:spacing w:line="240" w:lineRule="exact"/>
              <w:rPr>
                <w:rFonts w:ascii="Nirmala UI Semilight" w:hAnsi="Nirmala UI Semilight" w:cs="Nirmala UI Semilight"/>
              </w:rPr>
            </w:pPr>
            <w:r w:rsidRPr="00310E77">
              <w:rPr>
                <w:rFonts w:ascii="Nirmala UI Semilight" w:hAnsi="Nirmala UI Semilight" w:cs="Nirmala UI Semilight"/>
              </w:rPr>
              <w:t xml:space="preserve">Joint </w:t>
            </w:r>
            <w:r>
              <w:rPr>
                <w:rFonts w:ascii="Nirmala UI Semilight" w:hAnsi="Nirmala UI Semilight" w:cs="Nirmala UI Semilight"/>
              </w:rPr>
              <w:t>O</w:t>
            </w:r>
            <w:r w:rsidRPr="00310E77">
              <w:rPr>
                <w:rFonts w:ascii="Nirmala UI Semilight" w:hAnsi="Nirmala UI Semilight" w:cs="Nirmala UI Semilight"/>
              </w:rPr>
              <w:t xml:space="preserve">wner </w:t>
            </w:r>
            <w:r>
              <w:rPr>
                <w:rFonts w:ascii="Nirmala UI Semilight" w:hAnsi="Nirmala UI Semilight" w:cs="Nirmala UI Semilight"/>
              </w:rPr>
              <w:t>F</w:t>
            </w:r>
            <w:r w:rsidRPr="00310E77">
              <w:rPr>
                <w:rFonts w:ascii="Nirmala UI Semilight" w:hAnsi="Nirmala UI Semilight" w:cs="Nirmala UI Semilight"/>
              </w:rPr>
              <w:t>lexibility</w:t>
            </w:r>
          </w:p>
        </w:tc>
        <w:tc>
          <w:tcPr>
            <w:tcW w:w="1080" w:type="dxa"/>
            <w:tcBorders>
              <w:top w:val="dotted" w:sz="4" w:space="0" w:color="auto"/>
              <w:left w:val="dotted" w:sz="4" w:space="0" w:color="auto"/>
              <w:bottom w:val="single" w:sz="12" w:space="0" w:color="auto"/>
              <w:right w:val="dotted" w:sz="4" w:space="0" w:color="auto"/>
            </w:tcBorders>
            <w:shd w:val="clear" w:color="auto" w:fill="D9F2D0" w:themeFill="accent6" w:themeFillTint="33"/>
            <w:vAlign w:val="bottom"/>
          </w:tcPr>
          <w:p w14:paraId="7934F2DB" w14:textId="77777777" w:rsidR="008130CE" w:rsidRPr="00114E37" w:rsidRDefault="008130CE">
            <w:pPr>
              <w:spacing w:line="240" w:lineRule="exact"/>
              <w:rPr>
                <w:rFonts w:ascii="Aptos Narrow" w:hAnsi="Aptos Narrow"/>
                <w:color w:val="000000"/>
              </w:rPr>
            </w:pPr>
            <w:r>
              <w:rPr>
                <w:rFonts w:ascii="Aptos Narrow" w:hAnsi="Aptos Narrow"/>
                <w:color w:val="000000"/>
              </w:rPr>
              <w:t>IPC</w:t>
            </w:r>
          </w:p>
        </w:tc>
        <w:tc>
          <w:tcPr>
            <w:tcW w:w="1260" w:type="dxa"/>
            <w:vMerge/>
            <w:tcBorders>
              <w:left w:val="dotted" w:sz="4" w:space="0" w:color="auto"/>
              <w:bottom w:val="single" w:sz="12" w:space="0" w:color="auto"/>
            </w:tcBorders>
            <w:shd w:val="clear" w:color="auto" w:fill="D9F2D0" w:themeFill="accent6" w:themeFillTint="33"/>
          </w:tcPr>
          <w:p w14:paraId="7F55C007" w14:textId="77777777" w:rsidR="008130CE" w:rsidRDefault="008130CE">
            <w:pPr>
              <w:spacing w:line="240" w:lineRule="exact"/>
              <w:rPr>
                <w:rFonts w:ascii="Nirmala UI Semilight" w:hAnsi="Nirmala UI Semilight" w:cs="Nirmala UI Semilight"/>
              </w:rPr>
            </w:pPr>
          </w:p>
        </w:tc>
      </w:tr>
      <w:tr w:rsidR="008130CE" w14:paraId="22524E56" w14:textId="77777777">
        <w:tc>
          <w:tcPr>
            <w:tcW w:w="1710" w:type="dxa"/>
            <w:tcBorders>
              <w:top w:val="single" w:sz="12" w:space="0" w:color="auto"/>
              <w:bottom w:val="dotted" w:sz="4" w:space="0" w:color="auto"/>
              <w:right w:val="dotted" w:sz="4" w:space="0" w:color="auto"/>
            </w:tcBorders>
            <w:shd w:val="clear" w:color="auto" w:fill="B3E5A1" w:themeFill="accent6" w:themeFillTint="66"/>
            <w:vAlign w:val="bottom"/>
          </w:tcPr>
          <w:p w14:paraId="0EEE83D3" w14:textId="77777777" w:rsidR="008130CE" w:rsidRPr="00E73BEB" w:rsidRDefault="008130CE">
            <w:pPr>
              <w:spacing w:line="240" w:lineRule="exact"/>
              <w:rPr>
                <w:rFonts w:ascii="Nirmala UI Semilight" w:hAnsi="Nirmala UI Semilight" w:cs="Nirmala UI Semilight"/>
              </w:rPr>
            </w:pPr>
            <w:r>
              <w:rPr>
                <w:rFonts w:ascii="Nirmala UI Semilight" w:hAnsi="Nirmala UI Semilight" w:cs="Nirmala UI Semilight"/>
              </w:rPr>
              <w:t>2024-CRF-15</w:t>
            </w:r>
          </w:p>
        </w:tc>
        <w:tc>
          <w:tcPr>
            <w:tcW w:w="4230" w:type="dxa"/>
            <w:tcBorders>
              <w:top w:val="single" w:sz="12" w:space="0" w:color="auto"/>
              <w:left w:val="dotted" w:sz="4" w:space="0" w:color="auto"/>
              <w:bottom w:val="dotted" w:sz="4" w:space="0" w:color="auto"/>
              <w:right w:val="dotted" w:sz="4" w:space="0" w:color="auto"/>
            </w:tcBorders>
            <w:shd w:val="clear" w:color="auto" w:fill="B3E5A1" w:themeFill="accent6" w:themeFillTint="66"/>
            <w:vAlign w:val="bottom"/>
          </w:tcPr>
          <w:p w14:paraId="6F43F9D6" w14:textId="77777777" w:rsidR="008130CE" w:rsidRDefault="008130CE">
            <w:pPr>
              <w:spacing w:line="240" w:lineRule="exact"/>
              <w:rPr>
                <w:rFonts w:ascii="Nirmala UI Semilight" w:hAnsi="Nirmala UI Semilight" w:cs="Nirmala UI Semilight"/>
              </w:rPr>
            </w:pPr>
            <w:r w:rsidRPr="00310E77">
              <w:rPr>
                <w:rFonts w:ascii="Nirmala UI Semilight" w:hAnsi="Nirmala UI Semilight" w:cs="Nirmala UI Semilight"/>
              </w:rPr>
              <w:t>Planned Outage Clarification</w:t>
            </w:r>
          </w:p>
        </w:tc>
        <w:tc>
          <w:tcPr>
            <w:tcW w:w="1080" w:type="dxa"/>
            <w:tcBorders>
              <w:top w:val="single" w:sz="12" w:space="0" w:color="auto"/>
              <w:left w:val="dotted" w:sz="4" w:space="0" w:color="auto"/>
              <w:bottom w:val="dotted" w:sz="4" w:space="0" w:color="auto"/>
              <w:right w:val="dotted" w:sz="4" w:space="0" w:color="auto"/>
            </w:tcBorders>
            <w:shd w:val="clear" w:color="auto" w:fill="B3E5A1" w:themeFill="accent6" w:themeFillTint="66"/>
            <w:vAlign w:val="bottom"/>
          </w:tcPr>
          <w:p w14:paraId="1DD46BD3" w14:textId="77777777" w:rsidR="008130CE" w:rsidRPr="00114E37" w:rsidRDefault="008130CE">
            <w:pPr>
              <w:spacing w:line="240" w:lineRule="exact"/>
              <w:rPr>
                <w:rFonts w:ascii="Aptos Narrow" w:hAnsi="Aptos Narrow"/>
                <w:color w:val="000000"/>
              </w:rPr>
            </w:pPr>
            <w:r>
              <w:rPr>
                <w:rFonts w:ascii="Aptos Narrow" w:hAnsi="Aptos Narrow"/>
                <w:color w:val="000000"/>
              </w:rPr>
              <w:t>PNM</w:t>
            </w:r>
          </w:p>
        </w:tc>
        <w:tc>
          <w:tcPr>
            <w:tcW w:w="1260" w:type="dxa"/>
            <w:vMerge w:val="restart"/>
            <w:tcBorders>
              <w:top w:val="single" w:sz="12" w:space="0" w:color="auto"/>
              <w:left w:val="dotted" w:sz="4" w:space="0" w:color="auto"/>
            </w:tcBorders>
            <w:shd w:val="clear" w:color="auto" w:fill="B3E5A1" w:themeFill="accent6" w:themeFillTint="66"/>
            <w:vAlign w:val="center"/>
          </w:tcPr>
          <w:p w14:paraId="79393279" w14:textId="77777777" w:rsidR="008130CE" w:rsidRPr="00734F03" w:rsidRDefault="008130CE">
            <w:pPr>
              <w:spacing w:line="240" w:lineRule="exact"/>
              <w:jc w:val="center"/>
              <w:rPr>
                <w:rFonts w:ascii="Nirmala UI Semilight" w:hAnsi="Nirmala UI Semilight" w:cs="Nirmala UI Semilight"/>
                <w:b/>
                <w:bCs/>
              </w:rPr>
            </w:pPr>
            <w:r w:rsidRPr="00734F03">
              <w:rPr>
                <w:rFonts w:ascii="Nirmala UI Semilight" w:hAnsi="Nirmala UI Semilight" w:cs="Nirmala UI Semilight"/>
                <w:b/>
                <w:bCs/>
              </w:rPr>
              <w:t>Bottom Half</w:t>
            </w:r>
          </w:p>
        </w:tc>
      </w:tr>
      <w:tr w:rsidR="008130CE" w14:paraId="73EE273F" w14:textId="77777777">
        <w:tc>
          <w:tcPr>
            <w:tcW w:w="1710" w:type="dxa"/>
            <w:tcBorders>
              <w:top w:val="dotted" w:sz="4" w:space="0" w:color="auto"/>
              <w:bottom w:val="dotted" w:sz="4" w:space="0" w:color="auto"/>
              <w:right w:val="dotted" w:sz="4" w:space="0" w:color="auto"/>
            </w:tcBorders>
            <w:shd w:val="clear" w:color="auto" w:fill="B3E5A1" w:themeFill="accent6" w:themeFillTint="66"/>
            <w:vAlign w:val="bottom"/>
          </w:tcPr>
          <w:p w14:paraId="4A93EED1" w14:textId="77777777" w:rsidR="008130CE" w:rsidRDefault="008130CE">
            <w:pPr>
              <w:spacing w:line="240" w:lineRule="exact"/>
              <w:rPr>
                <w:rFonts w:ascii="Nirmala UI Semilight" w:hAnsi="Nirmala UI Semilight" w:cs="Nirmala UI Semilight"/>
              </w:rPr>
            </w:pPr>
            <w:r>
              <w:rPr>
                <w:rFonts w:ascii="Nirmala UI Semilight" w:hAnsi="Nirmala UI Semilight" w:cs="Nirmala UI Semilight"/>
              </w:rPr>
              <w:t>2024-</w:t>
            </w:r>
            <w:r w:rsidRPr="00E73BEB">
              <w:rPr>
                <w:rFonts w:ascii="Nirmala UI Semilight" w:hAnsi="Nirmala UI Semilight" w:cs="Nirmala UI Semilight"/>
              </w:rPr>
              <w:t>CRF-18</w:t>
            </w:r>
          </w:p>
        </w:tc>
        <w:tc>
          <w:tcPr>
            <w:tcW w:w="4230" w:type="dxa"/>
            <w:tcBorders>
              <w:top w:val="dotted" w:sz="4" w:space="0" w:color="auto"/>
              <w:left w:val="dotted" w:sz="4" w:space="0" w:color="auto"/>
              <w:bottom w:val="dotted" w:sz="4" w:space="0" w:color="auto"/>
              <w:right w:val="dotted" w:sz="4" w:space="0" w:color="auto"/>
            </w:tcBorders>
            <w:shd w:val="clear" w:color="auto" w:fill="B3E5A1" w:themeFill="accent6" w:themeFillTint="66"/>
            <w:vAlign w:val="bottom"/>
          </w:tcPr>
          <w:p w14:paraId="283D9CE5" w14:textId="77777777" w:rsidR="008130CE" w:rsidRPr="00310E77" w:rsidRDefault="008130CE">
            <w:pPr>
              <w:spacing w:line="240" w:lineRule="exact"/>
              <w:rPr>
                <w:rFonts w:ascii="Nirmala UI Semilight" w:hAnsi="Nirmala UI Semilight" w:cs="Nirmala UI Semilight"/>
              </w:rPr>
            </w:pPr>
            <w:r w:rsidRPr="00310E77">
              <w:rPr>
                <w:rFonts w:ascii="Nirmala UI Semilight" w:hAnsi="Nirmala UI Semilight" w:cs="Nirmala UI Semilight"/>
              </w:rPr>
              <w:t>PRM Out of TX Requirement</w:t>
            </w:r>
          </w:p>
        </w:tc>
        <w:tc>
          <w:tcPr>
            <w:tcW w:w="1080" w:type="dxa"/>
            <w:tcBorders>
              <w:top w:val="dotted" w:sz="4" w:space="0" w:color="auto"/>
              <w:left w:val="dotted" w:sz="4" w:space="0" w:color="auto"/>
              <w:bottom w:val="dotted" w:sz="4" w:space="0" w:color="auto"/>
              <w:right w:val="dotted" w:sz="4" w:space="0" w:color="auto"/>
            </w:tcBorders>
            <w:shd w:val="clear" w:color="auto" w:fill="B3E5A1" w:themeFill="accent6" w:themeFillTint="66"/>
            <w:vAlign w:val="bottom"/>
          </w:tcPr>
          <w:p w14:paraId="5EB8D648" w14:textId="77777777" w:rsidR="008130CE" w:rsidRPr="00114E37" w:rsidRDefault="008130CE">
            <w:pPr>
              <w:spacing w:line="240" w:lineRule="exact"/>
              <w:rPr>
                <w:rFonts w:ascii="Aptos Narrow" w:hAnsi="Aptos Narrow"/>
                <w:color w:val="000000"/>
              </w:rPr>
            </w:pPr>
            <w:r>
              <w:rPr>
                <w:rFonts w:ascii="Aptos Narrow" w:hAnsi="Aptos Narrow"/>
                <w:color w:val="000000"/>
              </w:rPr>
              <w:t>BPA</w:t>
            </w:r>
          </w:p>
        </w:tc>
        <w:tc>
          <w:tcPr>
            <w:tcW w:w="1260" w:type="dxa"/>
            <w:vMerge/>
            <w:tcBorders>
              <w:left w:val="dotted" w:sz="4" w:space="0" w:color="auto"/>
            </w:tcBorders>
            <w:shd w:val="clear" w:color="auto" w:fill="B3E5A1" w:themeFill="accent6" w:themeFillTint="66"/>
          </w:tcPr>
          <w:p w14:paraId="740160DE" w14:textId="77777777" w:rsidR="008130CE" w:rsidRDefault="008130CE">
            <w:pPr>
              <w:spacing w:line="240" w:lineRule="exact"/>
              <w:rPr>
                <w:rFonts w:ascii="Nirmala UI Semilight" w:hAnsi="Nirmala UI Semilight" w:cs="Nirmala UI Semilight"/>
              </w:rPr>
            </w:pPr>
          </w:p>
        </w:tc>
      </w:tr>
      <w:tr w:rsidR="008130CE" w14:paraId="10C5AF68" w14:textId="77777777">
        <w:tc>
          <w:tcPr>
            <w:tcW w:w="1710" w:type="dxa"/>
            <w:tcBorders>
              <w:top w:val="dotted" w:sz="4" w:space="0" w:color="auto"/>
              <w:bottom w:val="dotted" w:sz="4" w:space="0" w:color="auto"/>
              <w:right w:val="dotted" w:sz="4" w:space="0" w:color="auto"/>
            </w:tcBorders>
            <w:shd w:val="clear" w:color="auto" w:fill="B3E5A1" w:themeFill="accent6" w:themeFillTint="66"/>
            <w:vAlign w:val="bottom"/>
          </w:tcPr>
          <w:p w14:paraId="12648CCF" w14:textId="77777777" w:rsidR="008130CE" w:rsidRDefault="008130CE">
            <w:pPr>
              <w:spacing w:line="240" w:lineRule="exact"/>
              <w:rPr>
                <w:rFonts w:ascii="Nirmala UI Semilight" w:hAnsi="Nirmala UI Semilight" w:cs="Nirmala UI Semilight"/>
              </w:rPr>
            </w:pPr>
            <w:r>
              <w:rPr>
                <w:rFonts w:ascii="Nirmala UI Semilight" w:hAnsi="Nirmala UI Semilight" w:cs="Nirmala UI Semilight"/>
              </w:rPr>
              <w:t>2024-</w:t>
            </w:r>
            <w:r w:rsidRPr="00E73BEB">
              <w:rPr>
                <w:rFonts w:ascii="Nirmala UI Semilight" w:hAnsi="Nirmala UI Semilight" w:cs="Nirmala UI Semilight"/>
              </w:rPr>
              <w:t>CRF-19</w:t>
            </w:r>
            <w:r>
              <w:rPr>
                <w:rFonts w:ascii="Nirmala UI Semilight" w:hAnsi="Nirmala UI Semilight" w:cs="Nirmala UI Semilight"/>
              </w:rPr>
              <w:t xml:space="preserve">  </w:t>
            </w:r>
          </w:p>
        </w:tc>
        <w:tc>
          <w:tcPr>
            <w:tcW w:w="4230" w:type="dxa"/>
            <w:tcBorders>
              <w:top w:val="dotted" w:sz="4" w:space="0" w:color="auto"/>
              <w:left w:val="dotted" w:sz="4" w:space="0" w:color="auto"/>
              <w:bottom w:val="dotted" w:sz="4" w:space="0" w:color="auto"/>
              <w:right w:val="dotted" w:sz="4" w:space="0" w:color="auto"/>
            </w:tcBorders>
            <w:shd w:val="clear" w:color="auto" w:fill="B3E5A1" w:themeFill="accent6" w:themeFillTint="66"/>
            <w:vAlign w:val="bottom"/>
          </w:tcPr>
          <w:p w14:paraId="367A8A7C" w14:textId="77777777" w:rsidR="008130CE" w:rsidRPr="00310E77" w:rsidRDefault="008130CE">
            <w:pPr>
              <w:spacing w:line="240" w:lineRule="exact"/>
              <w:rPr>
                <w:rFonts w:ascii="Nirmala UI Semilight" w:hAnsi="Nirmala UI Semilight" w:cs="Nirmala UI Semilight"/>
              </w:rPr>
            </w:pPr>
            <w:r w:rsidRPr="00310E77">
              <w:rPr>
                <w:rFonts w:ascii="Nirmala UI Semilight" w:hAnsi="Nirmala UI Semilight" w:cs="Nirmala UI Semilight"/>
              </w:rPr>
              <w:t>Resource Aggregation</w:t>
            </w:r>
          </w:p>
        </w:tc>
        <w:tc>
          <w:tcPr>
            <w:tcW w:w="1080" w:type="dxa"/>
            <w:tcBorders>
              <w:top w:val="dotted" w:sz="4" w:space="0" w:color="auto"/>
              <w:left w:val="dotted" w:sz="4" w:space="0" w:color="auto"/>
              <w:bottom w:val="dotted" w:sz="4" w:space="0" w:color="auto"/>
              <w:right w:val="dotted" w:sz="4" w:space="0" w:color="auto"/>
            </w:tcBorders>
            <w:shd w:val="clear" w:color="auto" w:fill="B3E5A1" w:themeFill="accent6" w:themeFillTint="66"/>
            <w:vAlign w:val="bottom"/>
          </w:tcPr>
          <w:p w14:paraId="161F941C" w14:textId="77777777" w:rsidR="008130CE" w:rsidRPr="00114E37" w:rsidRDefault="008130CE">
            <w:pPr>
              <w:spacing w:line="240" w:lineRule="exact"/>
              <w:rPr>
                <w:rFonts w:ascii="Aptos Narrow" w:hAnsi="Aptos Narrow"/>
                <w:color w:val="000000"/>
              </w:rPr>
            </w:pPr>
            <w:r>
              <w:rPr>
                <w:rFonts w:ascii="Aptos Narrow" w:hAnsi="Aptos Narrow"/>
                <w:color w:val="000000"/>
              </w:rPr>
              <w:t>IPC</w:t>
            </w:r>
          </w:p>
        </w:tc>
        <w:tc>
          <w:tcPr>
            <w:tcW w:w="1260" w:type="dxa"/>
            <w:vMerge/>
            <w:tcBorders>
              <w:left w:val="dotted" w:sz="4" w:space="0" w:color="auto"/>
            </w:tcBorders>
            <w:shd w:val="clear" w:color="auto" w:fill="B3E5A1" w:themeFill="accent6" w:themeFillTint="66"/>
          </w:tcPr>
          <w:p w14:paraId="5481C093" w14:textId="77777777" w:rsidR="008130CE" w:rsidRDefault="008130CE">
            <w:pPr>
              <w:spacing w:line="240" w:lineRule="exact"/>
              <w:rPr>
                <w:rFonts w:ascii="Nirmala UI Semilight" w:hAnsi="Nirmala UI Semilight" w:cs="Nirmala UI Semilight"/>
              </w:rPr>
            </w:pPr>
          </w:p>
        </w:tc>
      </w:tr>
      <w:tr w:rsidR="008130CE" w14:paraId="505F28B8" w14:textId="77777777">
        <w:tc>
          <w:tcPr>
            <w:tcW w:w="1710" w:type="dxa"/>
            <w:tcBorders>
              <w:top w:val="dotted" w:sz="4" w:space="0" w:color="auto"/>
              <w:bottom w:val="dotted" w:sz="4" w:space="0" w:color="auto"/>
              <w:right w:val="dotted" w:sz="4" w:space="0" w:color="auto"/>
            </w:tcBorders>
            <w:shd w:val="clear" w:color="auto" w:fill="B3E5A1" w:themeFill="accent6" w:themeFillTint="66"/>
            <w:vAlign w:val="bottom"/>
          </w:tcPr>
          <w:p w14:paraId="0AE6E0C2" w14:textId="77777777" w:rsidR="008130CE" w:rsidRDefault="008130CE">
            <w:pPr>
              <w:spacing w:line="240" w:lineRule="exact"/>
              <w:rPr>
                <w:rFonts w:ascii="Nirmala UI Semilight" w:hAnsi="Nirmala UI Semilight" w:cs="Nirmala UI Semilight"/>
              </w:rPr>
            </w:pPr>
            <w:r>
              <w:rPr>
                <w:rFonts w:ascii="Nirmala UI Semilight" w:hAnsi="Nirmala UI Semilight" w:cs="Nirmala UI Semilight"/>
              </w:rPr>
              <w:t>2024-</w:t>
            </w:r>
            <w:r w:rsidRPr="00E73BEB">
              <w:rPr>
                <w:rFonts w:ascii="Nirmala UI Semilight" w:hAnsi="Nirmala UI Semilight" w:cs="Nirmala UI Semilight"/>
              </w:rPr>
              <w:t>CRF-20</w:t>
            </w:r>
          </w:p>
        </w:tc>
        <w:tc>
          <w:tcPr>
            <w:tcW w:w="4230" w:type="dxa"/>
            <w:tcBorders>
              <w:top w:val="dotted" w:sz="4" w:space="0" w:color="auto"/>
              <w:left w:val="dotted" w:sz="4" w:space="0" w:color="auto"/>
              <w:bottom w:val="dotted" w:sz="4" w:space="0" w:color="auto"/>
              <w:right w:val="dotted" w:sz="4" w:space="0" w:color="auto"/>
            </w:tcBorders>
            <w:shd w:val="clear" w:color="auto" w:fill="B3E5A1" w:themeFill="accent6" w:themeFillTint="66"/>
            <w:vAlign w:val="bottom"/>
          </w:tcPr>
          <w:p w14:paraId="564919E3" w14:textId="77777777" w:rsidR="008130CE" w:rsidRPr="00310E77" w:rsidRDefault="008130CE">
            <w:pPr>
              <w:spacing w:line="240" w:lineRule="exact"/>
              <w:rPr>
                <w:rFonts w:ascii="Nirmala UI Semilight" w:hAnsi="Nirmala UI Semilight" w:cs="Nirmala UI Semilight"/>
              </w:rPr>
            </w:pPr>
            <w:r w:rsidRPr="00310E77">
              <w:rPr>
                <w:rFonts w:ascii="Nirmala UI Semilight" w:hAnsi="Nirmala UI Semilight" w:cs="Nirmala UI Semilight"/>
              </w:rPr>
              <w:t>FS Waiver</w:t>
            </w:r>
          </w:p>
        </w:tc>
        <w:tc>
          <w:tcPr>
            <w:tcW w:w="1080" w:type="dxa"/>
            <w:tcBorders>
              <w:top w:val="dotted" w:sz="4" w:space="0" w:color="auto"/>
              <w:left w:val="dotted" w:sz="4" w:space="0" w:color="auto"/>
              <w:bottom w:val="dotted" w:sz="4" w:space="0" w:color="auto"/>
              <w:right w:val="dotted" w:sz="4" w:space="0" w:color="auto"/>
            </w:tcBorders>
            <w:shd w:val="clear" w:color="auto" w:fill="B3E5A1" w:themeFill="accent6" w:themeFillTint="66"/>
            <w:vAlign w:val="bottom"/>
          </w:tcPr>
          <w:p w14:paraId="4D730822" w14:textId="77777777" w:rsidR="008130CE" w:rsidRPr="00114E37" w:rsidRDefault="008130CE">
            <w:pPr>
              <w:spacing w:line="240" w:lineRule="exact"/>
              <w:rPr>
                <w:rFonts w:ascii="Aptos Narrow" w:hAnsi="Aptos Narrow"/>
              </w:rPr>
            </w:pPr>
            <w:r>
              <w:rPr>
                <w:rFonts w:ascii="Aptos Narrow" w:hAnsi="Aptos Narrow"/>
              </w:rPr>
              <w:t>FS Waiver</w:t>
            </w:r>
          </w:p>
        </w:tc>
        <w:tc>
          <w:tcPr>
            <w:tcW w:w="1260" w:type="dxa"/>
            <w:vMerge/>
            <w:tcBorders>
              <w:left w:val="dotted" w:sz="4" w:space="0" w:color="auto"/>
            </w:tcBorders>
            <w:shd w:val="clear" w:color="auto" w:fill="B3E5A1" w:themeFill="accent6" w:themeFillTint="66"/>
          </w:tcPr>
          <w:p w14:paraId="510BE50E" w14:textId="77777777" w:rsidR="008130CE" w:rsidRDefault="008130CE">
            <w:pPr>
              <w:spacing w:line="240" w:lineRule="exact"/>
              <w:rPr>
                <w:rFonts w:ascii="Nirmala UI Semilight" w:hAnsi="Nirmala UI Semilight" w:cs="Nirmala UI Semilight"/>
              </w:rPr>
            </w:pPr>
          </w:p>
        </w:tc>
      </w:tr>
      <w:tr w:rsidR="008130CE" w14:paraId="43BF6751" w14:textId="77777777">
        <w:tc>
          <w:tcPr>
            <w:tcW w:w="1710" w:type="dxa"/>
            <w:tcBorders>
              <w:top w:val="dotted" w:sz="4" w:space="0" w:color="auto"/>
              <w:bottom w:val="dotted" w:sz="4" w:space="0" w:color="auto"/>
              <w:right w:val="dotted" w:sz="4" w:space="0" w:color="auto"/>
            </w:tcBorders>
            <w:shd w:val="clear" w:color="auto" w:fill="B3E5A1" w:themeFill="accent6" w:themeFillTint="66"/>
            <w:vAlign w:val="bottom"/>
          </w:tcPr>
          <w:p w14:paraId="6DAA047D" w14:textId="77777777" w:rsidR="008130CE" w:rsidRDefault="008130CE">
            <w:pPr>
              <w:spacing w:line="240" w:lineRule="exact"/>
              <w:rPr>
                <w:rFonts w:ascii="Nirmala UI Semilight" w:hAnsi="Nirmala UI Semilight" w:cs="Nirmala UI Semilight"/>
              </w:rPr>
            </w:pPr>
            <w:r>
              <w:rPr>
                <w:rFonts w:ascii="Nirmala UI Semilight" w:hAnsi="Nirmala UI Semilight" w:cs="Nirmala UI Semilight"/>
              </w:rPr>
              <w:t>2024-CRF-21</w:t>
            </w:r>
          </w:p>
        </w:tc>
        <w:tc>
          <w:tcPr>
            <w:tcW w:w="4230" w:type="dxa"/>
            <w:tcBorders>
              <w:top w:val="dotted" w:sz="4" w:space="0" w:color="auto"/>
              <w:left w:val="dotted" w:sz="4" w:space="0" w:color="auto"/>
              <w:bottom w:val="dotted" w:sz="4" w:space="0" w:color="auto"/>
              <w:right w:val="dotted" w:sz="4" w:space="0" w:color="auto"/>
            </w:tcBorders>
            <w:shd w:val="clear" w:color="auto" w:fill="B3E5A1" w:themeFill="accent6" w:themeFillTint="66"/>
            <w:vAlign w:val="bottom"/>
          </w:tcPr>
          <w:p w14:paraId="2E7B33F6" w14:textId="77777777" w:rsidR="008130CE" w:rsidRPr="00310E77" w:rsidRDefault="008130CE">
            <w:pPr>
              <w:spacing w:line="240" w:lineRule="exact"/>
              <w:rPr>
                <w:rFonts w:ascii="Nirmala UI Semilight" w:hAnsi="Nirmala UI Semilight" w:cs="Nirmala UI Semilight"/>
              </w:rPr>
            </w:pPr>
            <w:r w:rsidRPr="000F1D8E">
              <w:rPr>
                <w:rFonts w:ascii="Nirmala UI Semilight" w:hAnsi="Nirmala UI Semilight" w:cs="Nirmala UI Semilight"/>
              </w:rPr>
              <w:t>Delivery Failure Charge Cap</w:t>
            </w:r>
          </w:p>
        </w:tc>
        <w:tc>
          <w:tcPr>
            <w:tcW w:w="1080" w:type="dxa"/>
            <w:tcBorders>
              <w:top w:val="dotted" w:sz="4" w:space="0" w:color="auto"/>
              <w:left w:val="dotted" w:sz="4" w:space="0" w:color="auto"/>
              <w:bottom w:val="dotted" w:sz="4" w:space="0" w:color="auto"/>
              <w:right w:val="dotted" w:sz="4" w:space="0" w:color="auto"/>
            </w:tcBorders>
            <w:shd w:val="clear" w:color="auto" w:fill="B3E5A1" w:themeFill="accent6" w:themeFillTint="66"/>
            <w:vAlign w:val="bottom"/>
          </w:tcPr>
          <w:p w14:paraId="47852448" w14:textId="77777777" w:rsidR="008130CE" w:rsidRDefault="008130CE">
            <w:pPr>
              <w:spacing w:line="240" w:lineRule="exact"/>
              <w:rPr>
                <w:rFonts w:ascii="Nirmala UI Semilight" w:hAnsi="Nirmala UI Semilight" w:cs="Nirmala UI Semilight"/>
              </w:rPr>
            </w:pPr>
            <w:r w:rsidRPr="000F1D8E">
              <w:rPr>
                <w:rFonts w:ascii="Nirmala UI Semilight" w:hAnsi="Nirmala UI Semilight" w:cs="Nirmala UI Semilight"/>
              </w:rPr>
              <w:t>BPA</w:t>
            </w:r>
          </w:p>
        </w:tc>
        <w:tc>
          <w:tcPr>
            <w:tcW w:w="1260" w:type="dxa"/>
            <w:vMerge/>
            <w:tcBorders>
              <w:left w:val="dotted" w:sz="4" w:space="0" w:color="auto"/>
            </w:tcBorders>
            <w:shd w:val="clear" w:color="auto" w:fill="B3E5A1" w:themeFill="accent6" w:themeFillTint="66"/>
          </w:tcPr>
          <w:p w14:paraId="59CDB5AC" w14:textId="77777777" w:rsidR="008130CE" w:rsidRDefault="008130CE">
            <w:pPr>
              <w:spacing w:line="240" w:lineRule="exact"/>
              <w:rPr>
                <w:rFonts w:ascii="Nirmala UI Semilight" w:hAnsi="Nirmala UI Semilight" w:cs="Nirmala UI Semilight"/>
              </w:rPr>
            </w:pPr>
          </w:p>
        </w:tc>
      </w:tr>
      <w:tr w:rsidR="008130CE" w14:paraId="7A60EB5B" w14:textId="77777777">
        <w:tc>
          <w:tcPr>
            <w:tcW w:w="1710" w:type="dxa"/>
            <w:tcBorders>
              <w:top w:val="dotted" w:sz="4" w:space="0" w:color="auto"/>
              <w:bottom w:val="dotted" w:sz="4" w:space="0" w:color="auto"/>
              <w:right w:val="dotted" w:sz="4" w:space="0" w:color="auto"/>
            </w:tcBorders>
            <w:shd w:val="clear" w:color="auto" w:fill="B3E5A1" w:themeFill="accent6" w:themeFillTint="66"/>
            <w:vAlign w:val="bottom"/>
          </w:tcPr>
          <w:p w14:paraId="20EB747B" w14:textId="77777777" w:rsidR="008130CE" w:rsidRDefault="008130CE">
            <w:pPr>
              <w:spacing w:line="240" w:lineRule="exact"/>
              <w:rPr>
                <w:rFonts w:ascii="Nirmala UI Semilight" w:hAnsi="Nirmala UI Semilight" w:cs="Nirmala UI Semilight"/>
              </w:rPr>
            </w:pPr>
            <w:r>
              <w:rPr>
                <w:rFonts w:ascii="Nirmala UI Semilight" w:hAnsi="Nirmala UI Semilight" w:cs="Nirmala UI Semilight"/>
              </w:rPr>
              <w:t>2024-</w:t>
            </w:r>
            <w:r w:rsidRPr="00E73BEB">
              <w:rPr>
                <w:rFonts w:ascii="Nirmala UI Semilight" w:hAnsi="Nirmala UI Semilight" w:cs="Nirmala UI Semilight"/>
              </w:rPr>
              <w:t>CRF-25</w:t>
            </w:r>
          </w:p>
        </w:tc>
        <w:tc>
          <w:tcPr>
            <w:tcW w:w="4230" w:type="dxa"/>
            <w:tcBorders>
              <w:top w:val="dotted" w:sz="4" w:space="0" w:color="auto"/>
              <w:left w:val="dotted" w:sz="4" w:space="0" w:color="auto"/>
              <w:bottom w:val="dotted" w:sz="4" w:space="0" w:color="auto"/>
              <w:right w:val="dotted" w:sz="4" w:space="0" w:color="auto"/>
            </w:tcBorders>
            <w:shd w:val="clear" w:color="auto" w:fill="B3E5A1" w:themeFill="accent6" w:themeFillTint="66"/>
            <w:vAlign w:val="bottom"/>
          </w:tcPr>
          <w:p w14:paraId="03E0554D" w14:textId="77777777" w:rsidR="008130CE" w:rsidRPr="00310E77" w:rsidRDefault="008130CE">
            <w:pPr>
              <w:spacing w:line="240" w:lineRule="exact"/>
              <w:rPr>
                <w:rFonts w:ascii="Nirmala UI Semilight" w:hAnsi="Nirmala UI Semilight" w:cs="Nirmala UI Semilight"/>
              </w:rPr>
            </w:pPr>
            <w:r w:rsidRPr="00310E77">
              <w:rPr>
                <w:rFonts w:ascii="Nirmala UI Semilight" w:hAnsi="Nirmala UI Semilight" w:cs="Nirmala UI Semilight"/>
              </w:rPr>
              <w:t>Qualifying Contract Options &amp; Reviews</w:t>
            </w:r>
          </w:p>
        </w:tc>
        <w:tc>
          <w:tcPr>
            <w:tcW w:w="1080" w:type="dxa"/>
            <w:tcBorders>
              <w:top w:val="dotted" w:sz="4" w:space="0" w:color="auto"/>
              <w:left w:val="dotted" w:sz="4" w:space="0" w:color="auto"/>
              <w:bottom w:val="dotted" w:sz="4" w:space="0" w:color="auto"/>
              <w:right w:val="dotted" w:sz="4" w:space="0" w:color="auto"/>
            </w:tcBorders>
            <w:shd w:val="clear" w:color="auto" w:fill="B3E5A1" w:themeFill="accent6" w:themeFillTint="66"/>
            <w:vAlign w:val="bottom"/>
          </w:tcPr>
          <w:p w14:paraId="50350A71" w14:textId="77777777" w:rsidR="008130CE" w:rsidRPr="00114E37" w:rsidRDefault="008130CE">
            <w:pPr>
              <w:spacing w:line="240" w:lineRule="exact"/>
              <w:rPr>
                <w:rFonts w:ascii="Aptos Narrow" w:hAnsi="Aptos Narrow"/>
                <w:color w:val="000000"/>
              </w:rPr>
            </w:pPr>
            <w:r>
              <w:rPr>
                <w:rFonts w:ascii="Aptos Narrow" w:hAnsi="Aptos Narrow"/>
                <w:color w:val="000000"/>
              </w:rPr>
              <w:t>IPC</w:t>
            </w:r>
          </w:p>
        </w:tc>
        <w:tc>
          <w:tcPr>
            <w:tcW w:w="1260" w:type="dxa"/>
            <w:vMerge/>
            <w:tcBorders>
              <w:left w:val="dotted" w:sz="4" w:space="0" w:color="auto"/>
            </w:tcBorders>
            <w:shd w:val="clear" w:color="auto" w:fill="B3E5A1" w:themeFill="accent6" w:themeFillTint="66"/>
          </w:tcPr>
          <w:p w14:paraId="1DDE75FB" w14:textId="77777777" w:rsidR="008130CE" w:rsidRDefault="008130CE">
            <w:pPr>
              <w:spacing w:line="240" w:lineRule="exact"/>
              <w:rPr>
                <w:rFonts w:ascii="Nirmala UI Semilight" w:hAnsi="Nirmala UI Semilight" w:cs="Nirmala UI Semilight"/>
              </w:rPr>
            </w:pPr>
          </w:p>
        </w:tc>
      </w:tr>
      <w:tr w:rsidR="008130CE" w14:paraId="1F6A8977" w14:textId="77777777">
        <w:tc>
          <w:tcPr>
            <w:tcW w:w="1710" w:type="dxa"/>
            <w:tcBorders>
              <w:top w:val="dotted" w:sz="4" w:space="0" w:color="auto"/>
              <w:bottom w:val="dotted" w:sz="4" w:space="0" w:color="auto"/>
              <w:right w:val="dotted" w:sz="4" w:space="0" w:color="auto"/>
            </w:tcBorders>
            <w:shd w:val="clear" w:color="auto" w:fill="B3E5A1" w:themeFill="accent6" w:themeFillTint="66"/>
            <w:vAlign w:val="bottom"/>
          </w:tcPr>
          <w:p w14:paraId="733205B4" w14:textId="77777777" w:rsidR="008130CE" w:rsidRDefault="008130CE">
            <w:pPr>
              <w:spacing w:line="240" w:lineRule="exact"/>
              <w:rPr>
                <w:rFonts w:ascii="Nirmala UI Semilight" w:hAnsi="Nirmala UI Semilight" w:cs="Nirmala UI Semilight"/>
              </w:rPr>
            </w:pPr>
            <w:r>
              <w:rPr>
                <w:rFonts w:ascii="Nirmala UI Semilight" w:hAnsi="Nirmala UI Semilight" w:cs="Nirmala UI Semilight"/>
              </w:rPr>
              <w:t>2024-</w:t>
            </w:r>
            <w:r w:rsidRPr="00E73BEB">
              <w:rPr>
                <w:rFonts w:ascii="Nirmala UI Semilight" w:hAnsi="Nirmala UI Semilight" w:cs="Nirmala UI Semilight"/>
              </w:rPr>
              <w:t>CRF-27</w:t>
            </w:r>
          </w:p>
        </w:tc>
        <w:tc>
          <w:tcPr>
            <w:tcW w:w="4230" w:type="dxa"/>
            <w:tcBorders>
              <w:top w:val="dotted" w:sz="4" w:space="0" w:color="auto"/>
              <w:left w:val="dotted" w:sz="4" w:space="0" w:color="auto"/>
              <w:bottom w:val="dotted" w:sz="4" w:space="0" w:color="auto"/>
              <w:right w:val="dotted" w:sz="4" w:space="0" w:color="auto"/>
            </w:tcBorders>
            <w:shd w:val="clear" w:color="auto" w:fill="B3E5A1" w:themeFill="accent6" w:themeFillTint="66"/>
            <w:vAlign w:val="bottom"/>
          </w:tcPr>
          <w:p w14:paraId="6111D023" w14:textId="77777777" w:rsidR="008130CE" w:rsidRPr="00310E77" w:rsidRDefault="008130CE">
            <w:pPr>
              <w:spacing w:line="240" w:lineRule="exact"/>
              <w:rPr>
                <w:rFonts w:ascii="Nirmala UI Semilight" w:hAnsi="Nirmala UI Semilight" w:cs="Nirmala UI Semilight"/>
              </w:rPr>
            </w:pPr>
            <w:r w:rsidRPr="00310E77">
              <w:rPr>
                <w:rFonts w:ascii="Nirmala UI Semilight" w:hAnsi="Nirmala UI Semilight" w:cs="Nirmala UI Semilight"/>
              </w:rPr>
              <w:t>Load Responsibility Transfer</w:t>
            </w:r>
          </w:p>
        </w:tc>
        <w:tc>
          <w:tcPr>
            <w:tcW w:w="1080" w:type="dxa"/>
            <w:tcBorders>
              <w:top w:val="dotted" w:sz="4" w:space="0" w:color="auto"/>
              <w:left w:val="dotted" w:sz="4" w:space="0" w:color="auto"/>
              <w:bottom w:val="dotted" w:sz="4" w:space="0" w:color="auto"/>
              <w:right w:val="dotted" w:sz="4" w:space="0" w:color="auto"/>
            </w:tcBorders>
            <w:shd w:val="clear" w:color="auto" w:fill="B3E5A1" w:themeFill="accent6" w:themeFillTint="66"/>
            <w:vAlign w:val="bottom"/>
          </w:tcPr>
          <w:p w14:paraId="036AB166" w14:textId="77777777" w:rsidR="008130CE" w:rsidRPr="00114E37" w:rsidRDefault="008130CE">
            <w:pPr>
              <w:spacing w:line="240" w:lineRule="exact"/>
              <w:rPr>
                <w:rFonts w:ascii="Aptos Narrow" w:hAnsi="Aptos Narrow"/>
                <w:color w:val="000000"/>
              </w:rPr>
            </w:pPr>
            <w:r>
              <w:rPr>
                <w:rFonts w:ascii="Aptos Narrow" w:hAnsi="Aptos Narrow"/>
                <w:color w:val="000000"/>
              </w:rPr>
              <w:t>BPA</w:t>
            </w:r>
          </w:p>
        </w:tc>
        <w:tc>
          <w:tcPr>
            <w:tcW w:w="1260" w:type="dxa"/>
            <w:vMerge/>
            <w:tcBorders>
              <w:left w:val="dotted" w:sz="4" w:space="0" w:color="auto"/>
            </w:tcBorders>
            <w:shd w:val="clear" w:color="auto" w:fill="B3E5A1" w:themeFill="accent6" w:themeFillTint="66"/>
          </w:tcPr>
          <w:p w14:paraId="2F245200" w14:textId="77777777" w:rsidR="008130CE" w:rsidRDefault="008130CE">
            <w:pPr>
              <w:spacing w:line="240" w:lineRule="exact"/>
              <w:rPr>
                <w:rFonts w:ascii="Nirmala UI Semilight" w:hAnsi="Nirmala UI Semilight" w:cs="Nirmala UI Semilight"/>
              </w:rPr>
            </w:pPr>
          </w:p>
        </w:tc>
      </w:tr>
      <w:tr w:rsidR="008130CE" w14:paraId="29ED87FB" w14:textId="77777777">
        <w:tc>
          <w:tcPr>
            <w:tcW w:w="1710" w:type="dxa"/>
            <w:tcBorders>
              <w:top w:val="dotted" w:sz="4" w:space="0" w:color="auto"/>
              <w:bottom w:val="single" w:sz="4" w:space="0" w:color="auto"/>
              <w:right w:val="dotted" w:sz="4" w:space="0" w:color="auto"/>
            </w:tcBorders>
            <w:shd w:val="clear" w:color="auto" w:fill="B3E5A1" w:themeFill="accent6" w:themeFillTint="66"/>
            <w:vAlign w:val="bottom"/>
          </w:tcPr>
          <w:p w14:paraId="55286E4D" w14:textId="77777777" w:rsidR="008130CE" w:rsidRDefault="008130CE">
            <w:pPr>
              <w:spacing w:line="240" w:lineRule="exact"/>
              <w:rPr>
                <w:rFonts w:ascii="Nirmala UI Semilight" w:hAnsi="Nirmala UI Semilight" w:cs="Nirmala UI Semilight"/>
              </w:rPr>
            </w:pPr>
            <w:r>
              <w:rPr>
                <w:rFonts w:ascii="Nirmala UI Semilight" w:hAnsi="Nirmala UI Semilight" w:cs="Nirmala UI Semilight"/>
              </w:rPr>
              <w:t>2024-CRF-31</w:t>
            </w:r>
          </w:p>
        </w:tc>
        <w:tc>
          <w:tcPr>
            <w:tcW w:w="4230" w:type="dxa"/>
            <w:tcBorders>
              <w:top w:val="dotted" w:sz="4" w:space="0" w:color="auto"/>
              <w:left w:val="dotted" w:sz="4" w:space="0" w:color="auto"/>
              <w:bottom w:val="single" w:sz="4" w:space="0" w:color="auto"/>
              <w:right w:val="dotted" w:sz="4" w:space="0" w:color="auto"/>
            </w:tcBorders>
            <w:shd w:val="clear" w:color="auto" w:fill="B3E5A1" w:themeFill="accent6" w:themeFillTint="66"/>
            <w:vAlign w:val="bottom"/>
          </w:tcPr>
          <w:p w14:paraId="0B1C522C" w14:textId="77777777" w:rsidR="008130CE" w:rsidRPr="00310E77" w:rsidRDefault="008130CE">
            <w:pPr>
              <w:spacing w:line="240" w:lineRule="exact"/>
              <w:rPr>
                <w:rFonts w:ascii="Nirmala UI Semilight" w:hAnsi="Nirmala UI Semilight" w:cs="Nirmala UI Semilight"/>
              </w:rPr>
            </w:pPr>
            <w:r w:rsidRPr="000F1D8E">
              <w:rPr>
                <w:rFonts w:ascii="Nirmala UI Semilight" w:hAnsi="Nirmala UI Semilight" w:cs="Nirmala UI Semilight"/>
              </w:rPr>
              <w:t>Bilateral Contracts</w:t>
            </w:r>
          </w:p>
        </w:tc>
        <w:tc>
          <w:tcPr>
            <w:tcW w:w="1080" w:type="dxa"/>
            <w:tcBorders>
              <w:top w:val="dotted" w:sz="4" w:space="0" w:color="auto"/>
              <w:left w:val="dotted" w:sz="4" w:space="0" w:color="auto"/>
              <w:bottom w:val="single" w:sz="4" w:space="0" w:color="auto"/>
              <w:right w:val="dotted" w:sz="4" w:space="0" w:color="auto"/>
            </w:tcBorders>
            <w:shd w:val="clear" w:color="auto" w:fill="B3E5A1" w:themeFill="accent6" w:themeFillTint="66"/>
            <w:vAlign w:val="bottom"/>
          </w:tcPr>
          <w:p w14:paraId="58891F6D" w14:textId="77777777" w:rsidR="008130CE" w:rsidRDefault="008130CE">
            <w:pPr>
              <w:spacing w:line="240" w:lineRule="exact"/>
              <w:rPr>
                <w:rFonts w:ascii="Nirmala UI Semilight" w:hAnsi="Nirmala UI Semilight" w:cs="Nirmala UI Semilight"/>
              </w:rPr>
            </w:pPr>
            <w:r w:rsidRPr="000F1D8E">
              <w:rPr>
                <w:rFonts w:ascii="Nirmala UI Semilight" w:hAnsi="Nirmala UI Semilight" w:cs="Nirmala UI Semilight"/>
              </w:rPr>
              <w:t>EWEB</w:t>
            </w:r>
          </w:p>
        </w:tc>
        <w:tc>
          <w:tcPr>
            <w:tcW w:w="1260" w:type="dxa"/>
            <w:vMerge/>
            <w:tcBorders>
              <w:left w:val="dotted" w:sz="4" w:space="0" w:color="auto"/>
              <w:bottom w:val="single" w:sz="4" w:space="0" w:color="auto"/>
            </w:tcBorders>
            <w:shd w:val="clear" w:color="auto" w:fill="B3E5A1" w:themeFill="accent6" w:themeFillTint="66"/>
          </w:tcPr>
          <w:p w14:paraId="1F877057" w14:textId="77777777" w:rsidR="008130CE" w:rsidRDefault="008130CE">
            <w:pPr>
              <w:spacing w:line="240" w:lineRule="exact"/>
              <w:rPr>
                <w:rFonts w:ascii="Nirmala UI Semilight" w:hAnsi="Nirmala UI Semilight" w:cs="Nirmala UI Semilight"/>
              </w:rPr>
            </w:pPr>
          </w:p>
        </w:tc>
      </w:tr>
    </w:tbl>
    <w:p w14:paraId="188681E0" w14:textId="77777777" w:rsidR="008130CE" w:rsidRPr="0055217F" w:rsidRDefault="008130CE" w:rsidP="008130CE">
      <w:pPr>
        <w:spacing w:after="0" w:line="240" w:lineRule="exact"/>
        <w:rPr>
          <w:rFonts w:ascii="Nirmala UI Semilight" w:hAnsi="Nirmala UI Semilight" w:cs="Nirmala UI Semilight"/>
        </w:rPr>
      </w:pPr>
    </w:p>
    <w:p w14:paraId="7B31321B" w14:textId="77777777" w:rsidR="008130CE" w:rsidRDefault="008130CE" w:rsidP="008130CE">
      <w:pPr>
        <w:spacing w:after="0" w:line="240" w:lineRule="exact"/>
        <w:ind w:left="1440"/>
        <w:rPr>
          <w:rFonts w:ascii="Nirmala UI Semilight" w:hAnsi="Nirmala UI Semilight" w:cs="Nirmala UI Semilight"/>
          <w:i/>
          <w:iCs/>
        </w:rPr>
      </w:pPr>
      <w:r w:rsidRPr="004E35B4">
        <w:rPr>
          <w:rFonts w:ascii="Nirmala UI Semilight" w:hAnsi="Nirmala UI Semilight" w:cs="Nirmala UI Semilight"/>
          <w:u w:val="single"/>
        </w:rPr>
        <w:t>Discussion</w:t>
      </w:r>
      <w:r>
        <w:rPr>
          <w:rFonts w:ascii="Nirmala UI Semilight" w:hAnsi="Nirmala UI Semilight" w:cs="Nirmala UI Semilight"/>
        </w:rPr>
        <w:t xml:space="preserve">: </w:t>
      </w:r>
      <w:r w:rsidRPr="00954FD6">
        <w:rPr>
          <w:rFonts w:ascii="Nirmala UI Semilight" w:hAnsi="Nirmala UI Semilight" w:cs="Nirmala UI Semilight"/>
          <w:i/>
          <w:iCs/>
        </w:rPr>
        <w:t>WPP mentions</w:t>
      </w:r>
      <w:r>
        <w:rPr>
          <w:rFonts w:ascii="Nirmala UI Semilight" w:hAnsi="Nirmala UI Semilight" w:cs="Nirmala UI Semilight"/>
        </w:rPr>
        <w:t xml:space="preserve"> </w:t>
      </w:r>
      <w:r>
        <w:rPr>
          <w:rFonts w:ascii="Nirmala UI Semilight" w:hAnsi="Nirmala UI Semilight" w:cs="Nirmala UI Semilight"/>
          <w:i/>
          <w:iCs/>
        </w:rPr>
        <w:t>t</w:t>
      </w:r>
      <w:r w:rsidRPr="00954FD6">
        <w:rPr>
          <w:rFonts w:ascii="Nirmala UI Semilight" w:hAnsi="Nirmala UI Semilight" w:cs="Nirmala UI Semilight"/>
          <w:i/>
          <w:iCs/>
        </w:rPr>
        <w:t>he top 9 CRFs will be ranked in order from 1 to 9. The bottom half will be ranked from 1 to 8. If any of the lower-priority CRFs do not make it through the top priority list, there is an option to submit an NTFP (Non-Tactical Field Proposal).</w:t>
      </w:r>
    </w:p>
    <w:p w14:paraId="295C3DCE" w14:textId="77777777" w:rsidR="008130CE" w:rsidRPr="00954FD6" w:rsidRDefault="008130CE" w:rsidP="008130CE">
      <w:pPr>
        <w:spacing w:after="0" w:line="240" w:lineRule="exact"/>
        <w:ind w:left="1440"/>
        <w:rPr>
          <w:rFonts w:ascii="Nirmala UI Semilight" w:hAnsi="Nirmala UI Semilight" w:cs="Nirmala UI Semilight"/>
          <w:i/>
          <w:iCs/>
        </w:rPr>
      </w:pPr>
    </w:p>
    <w:p w14:paraId="52BBD563" w14:textId="77777777" w:rsidR="008130CE" w:rsidRPr="00954FD6" w:rsidRDefault="008130CE" w:rsidP="008130CE">
      <w:pPr>
        <w:spacing w:after="0" w:line="240" w:lineRule="exact"/>
        <w:ind w:left="1440"/>
        <w:rPr>
          <w:rFonts w:ascii="Nirmala UI Semilight" w:hAnsi="Nirmala UI Semilight" w:cs="Nirmala UI Semilight"/>
          <w:i/>
          <w:iCs/>
        </w:rPr>
      </w:pPr>
      <w:r w:rsidRPr="00954FD6">
        <w:rPr>
          <w:rFonts w:ascii="Nirmala UI Semilight" w:hAnsi="Nirmala UI Semilight" w:cs="Nirmala UI Semilight"/>
          <w:i/>
          <w:iCs/>
        </w:rPr>
        <w:t xml:space="preserve">In terms of time planning, we have tentatively allocated 2 chips for short-term tasks, as these may take approximately 2 months to complete, 4 chips for medium-term tasks, and 6 chips for long-term tasks. We will need to </w:t>
      </w:r>
      <w:r w:rsidRPr="00954FD6">
        <w:rPr>
          <w:rFonts w:ascii="Nirmala UI Semilight" w:hAnsi="Nirmala UI Semilight" w:cs="Nirmala UI Semilight"/>
          <w:i/>
          <w:iCs/>
        </w:rPr>
        <w:lastRenderedPageBreak/>
        <w:t>reassess the estimated timeframes now that we have consolidated some tasks.</w:t>
      </w:r>
    </w:p>
    <w:p w14:paraId="0AF610BC" w14:textId="77777777" w:rsidR="008130CE" w:rsidRDefault="008130CE" w:rsidP="008130CE">
      <w:pPr>
        <w:spacing w:after="0" w:line="240" w:lineRule="exact"/>
        <w:ind w:left="1440"/>
        <w:rPr>
          <w:rFonts w:ascii="Nirmala UI Semilight" w:hAnsi="Nirmala UI Semilight" w:cs="Nirmala UI Semilight"/>
          <w:i/>
          <w:iCs/>
        </w:rPr>
      </w:pPr>
    </w:p>
    <w:p w14:paraId="1CECA0A4" w14:textId="77777777" w:rsidR="008130CE" w:rsidRDefault="008130CE" w:rsidP="008130CE">
      <w:pPr>
        <w:spacing w:after="0" w:line="240" w:lineRule="exact"/>
        <w:ind w:left="1440"/>
        <w:rPr>
          <w:rFonts w:ascii="Nirmala UI Semilight" w:hAnsi="Nirmala UI Semilight" w:cs="Nirmala UI Semilight"/>
          <w:i/>
          <w:iCs/>
        </w:rPr>
      </w:pPr>
    </w:p>
    <w:p w14:paraId="3CDB6ABA" w14:textId="77777777" w:rsidR="008130CE" w:rsidRPr="004E35B4" w:rsidRDefault="008130CE" w:rsidP="008130CE">
      <w:pPr>
        <w:spacing w:after="0" w:line="240" w:lineRule="exact"/>
        <w:ind w:left="1440"/>
        <w:rPr>
          <w:rFonts w:ascii="Nirmala UI Semilight" w:hAnsi="Nirmala UI Semilight" w:cs="Nirmala UI Semilight"/>
        </w:rPr>
      </w:pPr>
      <w:r w:rsidRPr="00954FD6">
        <w:rPr>
          <w:rFonts w:ascii="Nirmala UI Semilight" w:hAnsi="Nirmala UI Semilight" w:cs="Nirmala UI Semilight"/>
          <w:i/>
          <w:iCs/>
        </w:rPr>
        <w:t>We have also discussed the feasibility of managing three task forces simultaneously. This would allow for a total of 36 chips to be allocated. A cutoff will be identified, with remaining tasks either scheduled for next year or submitted as NTFPs. It's important to consider whether taking on three task forces at once is manageable, as this may require further evaluation.</w:t>
      </w:r>
    </w:p>
    <w:p w14:paraId="489A2F6C" w14:textId="77777777" w:rsidR="008130CE" w:rsidRPr="004E35B4" w:rsidRDefault="008130CE" w:rsidP="008130CE">
      <w:pPr>
        <w:spacing w:after="0" w:line="240" w:lineRule="exact"/>
        <w:rPr>
          <w:rFonts w:ascii="Nirmala UI Semilight" w:hAnsi="Nirmala UI Semilight" w:cs="Nirmala UI Semilight"/>
        </w:rPr>
      </w:pPr>
    </w:p>
    <w:p w14:paraId="5E1A1182" w14:textId="77777777" w:rsidR="008130CE" w:rsidRDefault="008130CE" w:rsidP="008130CE">
      <w:pPr>
        <w:pStyle w:val="ListParagraph"/>
        <w:numPr>
          <w:ilvl w:val="1"/>
          <w:numId w:val="24"/>
        </w:numPr>
        <w:spacing w:after="0" w:line="240" w:lineRule="exact"/>
        <w:jc w:val="left"/>
        <w:rPr>
          <w:rFonts w:ascii="Nirmala UI Semilight" w:hAnsi="Nirmala UI Semilight" w:cs="Nirmala UI Semilight"/>
          <w:b/>
          <w:bCs/>
          <w:u w:val="single"/>
        </w:rPr>
      </w:pPr>
      <w:r w:rsidRPr="006C7D80">
        <w:rPr>
          <w:rFonts w:ascii="Nirmala UI Semilight" w:hAnsi="Nirmala UI Semilight" w:cs="Nirmala UI Semilight"/>
          <w:b/>
          <w:bCs/>
          <w:u w:val="single"/>
        </w:rPr>
        <w:t xml:space="preserve">Phase B - Rank Concepts within </w:t>
      </w:r>
      <w:proofErr w:type="spellStart"/>
      <w:r w:rsidRPr="006C7D80">
        <w:rPr>
          <w:rFonts w:ascii="Nirmala UI Semilight" w:hAnsi="Nirmala UI Semilight" w:cs="Nirmala UI Semilight"/>
          <w:b/>
          <w:bCs/>
          <w:u w:val="single"/>
        </w:rPr>
        <w:t>i</w:t>
      </w:r>
      <w:proofErr w:type="spellEnd"/>
      <w:r w:rsidRPr="006C7D80">
        <w:rPr>
          <w:rFonts w:ascii="Nirmala UI Semilight" w:hAnsi="Nirmala UI Semilight" w:cs="Nirmala UI Semilight"/>
          <w:b/>
          <w:bCs/>
          <w:u w:val="single"/>
        </w:rPr>
        <w:t>) higher and ii) lower priority categories</w:t>
      </w:r>
    </w:p>
    <w:p w14:paraId="291E88D0" w14:textId="77777777" w:rsidR="008130CE" w:rsidRPr="0055217F" w:rsidRDefault="008130CE" w:rsidP="008130CE">
      <w:pPr>
        <w:pStyle w:val="ListParagraph"/>
        <w:numPr>
          <w:ilvl w:val="2"/>
          <w:numId w:val="24"/>
        </w:numPr>
        <w:spacing w:after="0" w:line="240" w:lineRule="exact"/>
        <w:jc w:val="left"/>
        <w:rPr>
          <w:rFonts w:ascii="Nirmala UI Semilight" w:hAnsi="Nirmala UI Semilight" w:cs="Nirmala UI Semilight"/>
        </w:rPr>
      </w:pPr>
      <w:r w:rsidRPr="004E35B4">
        <w:rPr>
          <w:rFonts w:ascii="Nirmala UI Semilight" w:hAnsi="Nirmala UI Semilight" w:cs="Nirmala UI Semilight"/>
        </w:rPr>
        <w:t xml:space="preserve">PRC spent a few minutes </w:t>
      </w:r>
      <w:r>
        <w:rPr>
          <w:rFonts w:ascii="Nirmala UI Semilight" w:hAnsi="Nirmala UI Semilight" w:cs="Nirmala UI Semilight"/>
        </w:rPr>
        <w:t xml:space="preserve">ranking </w:t>
      </w:r>
      <w:r w:rsidRPr="004E35B4">
        <w:rPr>
          <w:rFonts w:ascii="Nirmala UI Semilight" w:hAnsi="Nirmala UI Semilight" w:cs="Nirmala UI Semilight"/>
        </w:rPr>
        <w:t xml:space="preserve">the CRFs through </w:t>
      </w:r>
      <w:proofErr w:type="spellStart"/>
      <w:r w:rsidRPr="004E35B4">
        <w:rPr>
          <w:rFonts w:ascii="Nirmala UI Semilight" w:hAnsi="Nirmala UI Semilight" w:cs="Nirmala UI Semilight"/>
        </w:rPr>
        <w:t>Slido</w:t>
      </w:r>
      <w:proofErr w:type="spellEnd"/>
      <w:r w:rsidRPr="004E35B4">
        <w:rPr>
          <w:rFonts w:ascii="Nirmala UI Semilight" w:hAnsi="Nirmala UI Semilight" w:cs="Nirmala UI Semilight"/>
        </w:rPr>
        <w:t xml:space="preserve"> </w:t>
      </w:r>
      <w:r>
        <w:rPr>
          <w:rFonts w:ascii="Nirmala UI Semilight" w:hAnsi="Nirmala UI Semilight" w:cs="Nirmala UI Semilight"/>
        </w:rPr>
        <w:t xml:space="preserve">and created the </w:t>
      </w:r>
      <w:proofErr w:type="gramStart"/>
      <w:r>
        <w:rPr>
          <w:rFonts w:ascii="Nirmala UI Semilight" w:hAnsi="Nirmala UI Semilight" w:cs="Nirmala UI Semilight"/>
        </w:rPr>
        <w:t>below prioritization list</w:t>
      </w:r>
      <w:proofErr w:type="gramEnd"/>
      <w:r>
        <w:rPr>
          <w:rFonts w:ascii="Nirmala UI Semilight" w:hAnsi="Nirmala UI Semilight" w:cs="Nirmala UI Semilight"/>
        </w:rPr>
        <w:t>:</w:t>
      </w:r>
    </w:p>
    <w:p w14:paraId="13734C36" w14:textId="77777777" w:rsidR="008130CE" w:rsidRDefault="008130CE" w:rsidP="008130CE">
      <w:pPr>
        <w:spacing w:after="0" w:line="240" w:lineRule="exact"/>
        <w:rPr>
          <w:rFonts w:ascii="Nirmala UI Semilight" w:hAnsi="Nirmala UI Semilight" w:cs="Nirmala UI Semilight"/>
          <w:u w:val="single"/>
        </w:rPr>
      </w:pPr>
    </w:p>
    <w:tbl>
      <w:tblPr>
        <w:tblStyle w:val="TableGrid"/>
        <w:tblW w:w="0" w:type="auto"/>
        <w:tblInd w:w="1075" w:type="dxa"/>
        <w:tblLook w:val="04A0" w:firstRow="1" w:lastRow="0" w:firstColumn="1" w:lastColumn="0" w:noHBand="0" w:noVBand="1"/>
      </w:tblPr>
      <w:tblGrid>
        <w:gridCol w:w="797"/>
        <w:gridCol w:w="1544"/>
        <w:gridCol w:w="3900"/>
        <w:gridCol w:w="811"/>
        <w:gridCol w:w="1223"/>
      </w:tblGrid>
      <w:tr w:rsidR="008130CE" w14:paraId="4896E2E2" w14:textId="77777777">
        <w:tc>
          <w:tcPr>
            <w:tcW w:w="810" w:type="dxa"/>
            <w:tcBorders>
              <w:bottom w:val="single" w:sz="4" w:space="0" w:color="auto"/>
              <w:right w:val="dotted" w:sz="4" w:space="0" w:color="auto"/>
            </w:tcBorders>
            <w:shd w:val="clear" w:color="auto" w:fill="E8E8E8" w:themeFill="background2"/>
          </w:tcPr>
          <w:p w14:paraId="493F7362" w14:textId="77777777" w:rsidR="008130CE" w:rsidRPr="00D822B7" w:rsidRDefault="008130CE">
            <w:pPr>
              <w:spacing w:line="240" w:lineRule="exact"/>
              <w:rPr>
                <w:rFonts w:ascii="Nirmala UI Semilight" w:hAnsi="Nirmala UI Semilight" w:cs="Nirmala UI Semilight"/>
                <w:b/>
                <w:bCs/>
              </w:rPr>
            </w:pPr>
            <w:r>
              <w:rPr>
                <w:rFonts w:ascii="Nirmala UI Semilight" w:hAnsi="Nirmala UI Semilight" w:cs="Nirmala UI Semilight"/>
                <w:b/>
                <w:bCs/>
              </w:rPr>
              <w:t>Rank</w:t>
            </w:r>
          </w:p>
        </w:tc>
        <w:tc>
          <w:tcPr>
            <w:tcW w:w="1620" w:type="dxa"/>
            <w:tcBorders>
              <w:bottom w:val="single" w:sz="4" w:space="0" w:color="auto"/>
              <w:right w:val="dotted" w:sz="4" w:space="0" w:color="auto"/>
            </w:tcBorders>
            <w:shd w:val="clear" w:color="auto" w:fill="E8E8E8" w:themeFill="background2"/>
          </w:tcPr>
          <w:p w14:paraId="223A402F" w14:textId="77777777" w:rsidR="008130CE" w:rsidRPr="00D822B7" w:rsidRDefault="008130CE">
            <w:pPr>
              <w:spacing w:line="240" w:lineRule="exact"/>
              <w:rPr>
                <w:rFonts w:ascii="Nirmala UI Semilight" w:hAnsi="Nirmala UI Semilight" w:cs="Nirmala UI Semilight"/>
                <w:b/>
                <w:bCs/>
              </w:rPr>
            </w:pPr>
            <w:r w:rsidRPr="00D822B7">
              <w:rPr>
                <w:rFonts w:ascii="Nirmala UI Semilight" w:hAnsi="Nirmala UI Semilight" w:cs="Nirmala UI Semilight"/>
                <w:b/>
                <w:bCs/>
              </w:rPr>
              <w:t>CRF Number</w:t>
            </w:r>
          </w:p>
        </w:tc>
        <w:tc>
          <w:tcPr>
            <w:tcW w:w="4140" w:type="dxa"/>
            <w:tcBorders>
              <w:left w:val="dotted" w:sz="4" w:space="0" w:color="auto"/>
              <w:bottom w:val="single" w:sz="4" w:space="0" w:color="auto"/>
              <w:right w:val="dotted" w:sz="4" w:space="0" w:color="auto"/>
            </w:tcBorders>
            <w:shd w:val="clear" w:color="auto" w:fill="E8E8E8" w:themeFill="background2"/>
          </w:tcPr>
          <w:p w14:paraId="2FBD0CCA" w14:textId="77777777" w:rsidR="008130CE" w:rsidRPr="00D822B7" w:rsidRDefault="008130CE">
            <w:pPr>
              <w:spacing w:line="240" w:lineRule="exact"/>
              <w:rPr>
                <w:rFonts w:ascii="Nirmala UI Semilight" w:hAnsi="Nirmala UI Semilight" w:cs="Nirmala UI Semilight"/>
                <w:b/>
                <w:bCs/>
              </w:rPr>
            </w:pPr>
            <w:r w:rsidRPr="00D822B7">
              <w:rPr>
                <w:rFonts w:ascii="Nirmala UI Semilight" w:hAnsi="Nirmala UI Semilight" w:cs="Nirmala UI Semilight"/>
                <w:b/>
                <w:bCs/>
              </w:rPr>
              <w:t>Topic</w:t>
            </w:r>
          </w:p>
        </w:tc>
        <w:tc>
          <w:tcPr>
            <w:tcW w:w="810" w:type="dxa"/>
            <w:tcBorders>
              <w:left w:val="dotted" w:sz="4" w:space="0" w:color="auto"/>
              <w:bottom w:val="single" w:sz="4" w:space="0" w:color="auto"/>
              <w:right w:val="dotted" w:sz="4" w:space="0" w:color="auto"/>
            </w:tcBorders>
            <w:shd w:val="clear" w:color="auto" w:fill="E8E8E8" w:themeFill="background2"/>
          </w:tcPr>
          <w:p w14:paraId="02A06054" w14:textId="77777777" w:rsidR="008130CE" w:rsidRPr="00D822B7" w:rsidRDefault="008130CE">
            <w:pPr>
              <w:spacing w:line="240" w:lineRule="exact"/>
              <w:rPr>
                <w:rFonts w:ascii="Nirmala UI Semilight" w:hAnsi="Nirmala UI Semilight" w:cs="Nirmala UI Semilight"/>
                <w:b/>
                <w:bCs/>
              </w:rPr>
            </w:pPr>
            <w:r>
              <w:rPr>
                <w:rFonts w:ascii="Nirmala UI Semilight" w:hAnsi="Nirmala UI Semilight" w:cs="Nirmala UI Semilight"/>
                <w:b/>
                <w:bCs/>
              </w:rPr>
              <w:t>Org.</w:t>
            </w:r>
          </w:p>
        </w:tc>
        <w:tc>
          <w:tcPr>
            <w:tcW w:w="1261" w:type="dxa"/>
            <w:tcBorders>
              <w:left w:val="dotted" w:sz="4" w:space="0" w:color="auto"/>
              <w:bottom w:val="single" w:sz="4" w:space="0" w:color="auto"/>
            </w:tcBorders>
            <w:shd w:val="clear" w:color="auto" w:fill="E8E8E8" w:themeFill="background2"/>
          </w:tcPr>
          <w:p w14:paraId="5D9C19CE" w14:textId="77777777" w:rsidR="008130CE" w:rsidRPr="00D822B7" w:rsidRDefault="008130CE">
            <w:pPr>
              <w:spacing w:line="240" w:lineRule="exact"/>
              <w:rPr>
                <w:rFonts w:ascii="Nirmala UI Semilight" w:hAnsi="Nirmala UI Semilight" w:cs="Nirmala UI Semilight"/>
                <w:b/>
                <w:bCs/>
              </w:rPr>
            </w:pPr>
            <w:r>
              <w:rPr>
                <w:rFonts w:ascii="Nirmala UI Semilight" w:hAnsi="Nirmala UI Semilight" w:cs="Nirmala UI Semilight"/>
                <w:b/>
                <w:bCs/>
              </w:rPr>
              <w:t xml:space="preserve">Priority </w:t>
            </w:r>
          </w:p>
        </w:tc>
      </w:tr>
      <w:tr w:rsidR="008130CE" w14:paraId="631D5620" w14:textId="77777777">
        <w:tc>
          <w:tcPr>
            <w:tcW w:w="810" w:type="dxa"/>
            <w:tcBorders>
              <w:bottom w:val="nil"/>
              <w:right w:val="dotted" w:sz="4" w:space="0" w:color="auto"/>
            </w:tcBorders>
            <w:shd w:val="clear" w:color="auto" w:fill="D9F2D0" w:themeFill="accent6" w:themeFillTint="33"/>
          </w:tcPr>
          <w:p w14:paraId="5F8AC9EC" w14:textId="77777777" w:rsidR="008130CE" w:rsidRDefault="008130CE">
            <w:pPr>
              <w:spacing w:line="240" w:lineRule="exact"/>
              <w:rPr>
                <w:rFonts w:ascii="Nirmala UI Semilight" w:hAnsi="Nirmala UI Semilight" w:cs="Nirmala UI Semilight"/>
              </w:rPr>
            </w:pPr>
            <w:r>
              <w:rPr>
                <w:rFonts w:ascii="Nirmala UI Semilight" w:hAnsi="Nirmala UI Semilight" w:cs="Nirmala UI Semilight"/>
              </w:rPr>
              <w:t>1</w:t>
            </w:r>
          </w:p>
        </w:tc>
        <w:tc>
          <w:tcPr>
            <w:tcW w:w="1620" w:type="dxa"/>
            <w:tcBorders>
              <w:bottom w:val="nil"/>
              <w:right w:val="dotted" w:sz="4" w:space="0" w:color="auto"/>
            </w:tcBorders>
            <w:shd w:val="clear" w:color="auto" w:fill="D9F2D0" w:themeFill="accent6" w:themeFillTint="33"/>
          </w:tcPr>
          <w:p w14:paraId="6A714A0F" w14:textId="77777777" w:rsidR="008130CE" w:rsidRDefault="008130CE">
            <w:pPr>
              <w:spacing w:line="240" w:lineRule="exact"/>
              <w:rPr>
                <w:rFonts w:ascii="Nirmala UI Semilight" w:hAnsi="Nirmala UI Semilight" w:cs="Nirmala UI Semilight"/>
              </w:rPr>
            </w:pPr>
            <w:r>
              <w:rPr>
                <w:rFonts w:ascii="Nirmala UI Semilight" w:hAnsi="Nirmala UI Semilight" w:cs="Nirmala UI Semilight"/>
              </w:rPr>
              <w:t>2024-</w:t>
            </w:r>
            <w:r w:rsidRPr="00D822B7">
              <w:rPr>
                <w:rFonts w:ascii="Nirmala UI Semilight" w:hAnsi="Nirmala UI Semilight" w:cs="Nirmala UI Semilight"/>
              </w:rPr>
              <w:t>CRF-05</w:t>
            </w:r>
          </w:p>
        </w:tc>
        <w:tc>
          <w:tcPr>
            <w:tcW w:w="4140" w:type="dxa"/>
            <w:tcBorders>
              <w:left w:val="dotted" w:sz="4" w:space="0" w:color="auto"/>
              <w:bottom w:val="nil"/>
              <w:right w:val="dotted" w:sz="4" w:space="0" w:color="auto"/>
            </w:tcBorders>
            <w:shd w:val="clear" w:color="auto" w:fill="D9F2D0" w:themeFill="accent6" w:themeFillTint="33"/>
          </w:tcPr>
          <w:p w14:paraId="17330DCC" w14:textId="77777777" w:rsidR="008130CE" w:rsidRDefault="008130CE">
            <w:pPr>
              <w:spacing w:line="240" w:lineRule="exact"/>
              <w:rPr>
                <w:rFonts w:ascii="Nirmala UI Semilight" w:hAnsi="Nirmala UI Semilight" w:cs="Nirmala UI Semilight"/>
              </w:rPr>
            </w:pPr>
            <w:r>
              <w:rPr>
                <w:rFonts w:ascii="Nirmala UI Semilight" w:hAnsi="Nirmala UI Semilight" w:cs="Nirmala UI Semilight"/>
              </w:rPr>
              <w:t>L</w:t>
            </w:r>
            <w:r w:rsidRPr="00D822B7">
              <w:rPr>
                <w:rFonts w:ascii="Nirmala UI Semilight" w:hAnsi="Nirmala UI Semilight" w:cs="Nirmala UI Semilight"/>
              </w:rPr>
              <w:t xml:space="preserve">oad </w:t>
            </w:r>
            <w:r>
              <w:rPr>
                <w:rFonts w:ascii="Nirmala UI Semilight" w:hAnsi="Nirmala UI Semilight" w:cs="Nirmala UI Semilight"/>
              </w:rPr>
              <w:t>G</w:t>
            </w:r>
            <w:r w:rsidRPr="00D822B7">
              <w:rPr>
                <w:rFonts w:ascii="Nirmala UI Semilight" w:hAnsi="Nirmala UI Semilight" w:cs="Nirmala UI Semilight"/>
              </w:rPr>
              <w:t xml:space="preserve">rowth </w:t>
            </w:r>
            <w:r>
              <w:rPr>
                <w:rFonts w:ascii="Nirmala UI Semilight" w:hAnsi="Nirmala UI Semilight" w:cs="Nirmala UI Semilight"/>
              </w:rPr>
              <w:t>F</w:t>
            </w:r>
            <w:r w:rsidRPr="00D822B7">
              <w:rPr>
                <w:rFonts w:ascii="Nirmala UI Semilight" w:hAnsi="Nirmala UI Semilight" w:cs="Nirmala UI Semilight"/>
              </w:rPr>
              <w:t>actor</w:t>
            </w:r>
          </w:p>
        </w:tc>
        <w:tc>
          <w:tcPr>
            <w:tcW w:w="810" w:type="dxa"/>
            <w:tcBorders>
              <w:left w:val="dotted" w:sz="4" w:space="0" w:color="auto"/>
              <w:bottom w:val="nil"/>
              <w:right w:val="dotted" w:sz="4" w:space="0" w:color="auto"/>
            </w:tcBorders>
            <w:shd w:val="clear" w:color="auto" w:fill="D9F2D0" w:themeFill="accent6" w:themeFillTint="33"/>
          </w:tcPr>
          <w:p w14:paraId="1CA5179D" w14:textId="77777777" w:rsidR="008130CE" w:rsidRDefault="008130CE">
            <w:pPr>
              <w:spacing w:line="240" w:lineRule="exact"/>
              <w:rPr>
                <w:rFonts w:ascii="Nirmala UI Semilight" w:hAnsi="Nirmala UI Semilight" w:cs="Nirmala UI Semilight"/>
              </w:rPr>
            </w:pPr>
            <w:r w:rsidRPr="000F1D8E">
              <w:rPr>
                <w:rFonts w:ascii="Nirmala UI Semilight" w:hAnsi="Nirmala UI Semilight" w:cs="Nirmala UI Semilight"/>
              </w:rPr>
              <w:t>APS</w:t>
            </w:r>
          </w:p>
        </w:tc>
        <w:tc>
          <w:tcPr>
            <w:tcW w:w="1261" w:type="dxa"/>
            <w:vMerge w:val="restart"/>
            <w:tcBorders>
              <w:left w:val="dotted" w:sz="4" w:space="0" w:color="auto"/>
            </w:tcBorders>
            <w:shd w:val="clear" w:color="auto" w:fill="D9F2D0" w:themeFill="accent6" w:themeFillTint="33"/>
            <w:vAlign w:val="center"/>
          </w:tcPr>
          <w:p w14:paraId="0487A6F9" w14:textId="77777777" w:rsidR="008130CE" w:rsidRPr="002A6DC1" w:rsidRDefault="008130CE">
            <w:pPr>
              <w:spacing w:line="240" w:lineRule="exact"/>
              <w:jc w:val="center"/>
              <w:rPr>
                <w:rFonts w:ascii="Nirmala UI Semilight" w:hAnsi="Nirmala UI Semilight" w:cs="Nirmala UI Semilight"/>
                <w:b/>
                <w:bCs/>
              </w:rPr>
            </w:pPr>
            <w:r w:rsidRPr="002A6DC1">
              <w:rPr>
                <w:rFonts w:ascii="Nirmala UI Semilight" w:hAnsi="Nirmala UI Semilight" w:cs="Nirmala UI Semilight"/>
                <w:b/>
                <w:bCs/>
              </w:rPr>
              <w:t>Top Half</w:t>
            </w:r>
          </w:p>
        </w:tc>
      </w:tr>
      <w:tr w:rsidR="008130CE" w14:paraId="21439171" w14:textId="77777777">
        <w:tc>
          <w:tcPr>
            <w:tcW w:w="810" w:type="dxa"/>
            <w:tcBorders>
              <w:top w:val="nil"/>
              <w:left w:val="single" w:sz="4" w:space="0" w:color="auto"/>
              <w:bottom w:val="nil"/>
              <w:right w:val="dotted" w:sz="4" w:space="0" w:color="auto"/>
            </w:tcBorders>
            <w:shd w:val="clear" w:color="auto" w:fill="D9F2D0" w:themeFill="accent6" w:themeFillTint="33"/>
          </w:tcPr>
          <w:p w14:paraId="777E0840" w14:textId="77777777" w:rsidR="008130CE" w:rsidRDefault="008130CE">
            <w:pPr>
              <w:spacing w:line="240" w:lineRule="exact"/>
              <w:rPr>
                <w:rFonts w:ascii="Nirmala UI Semilight" w:hAnsi="Nirmala UI Semilight" w:cs="Nirmala UI Semilight"/>
              </w:rPr>
            </w:pPr>
            <w:r>
              <w:rPr>
                <w:rFonts w:ascii="Nirmala UI Semilight" w:hAnsi="Nirmala UI Semilight" w:cs="Nirmala UI Semilight"/>
              </w:rPr>
              <w:t>2</w:t>
            </w:r>
          </w:p>
        </w:tc>
        <w:tc>
          <w:tcPr>
            <w:tcW w:w="1620" w:type="dxa"/>
            <w:tcBorders>
              <w:top w:val="nil"/>
              <w:left w:val="single" w:sz="4" w:space="0" w:color="auto"/>
              <w:bottom w:val="nil"/>
              <w:right w:val="dotted" w:sz="4" w:space="0" w:color="auto"/>
            </w:tcBorders>
            <w:shd w:val="clear" w:color="auto" w:fill="D9F2D0" w:themeFill="accent6" w:themeFillTint="33"/>
          </w:tcPr>
          <w:p w14:paraId="390F7E67" w14:textId="77777777" w:rsidR="008130CE" w:rsidRDefault="008130CE">
            <w:pPr>
              <w:spacing w:line="240" w:lineRule="exact"/>
              <w:rPr>
                <w:rFonts w:ascii="Nirmala UI Semilight" w:hAnsi="Nirmala UI Semilight" w:cs="Nirmala UI Semilight"/>
              </w:rPr>
            </w:pPr>
            <w:r>
              <w:rPr>
                <w:rFonts w:ascii="Nirmala UI Semilight" w:hAnsi="Nirmala UI Semilight" w:cs="Nirmala UI Semilight"/>
              </w:rPr>
              <w:t>2024-</w:t>
            </w:r>
            <w:r w:rsidRPr="00D822B7">
              <w:rPr>
                <w:rFonts w:ascii="Nirmala UI Semilight" w:hAnsi="Nirmala UI Semilight" w:cs="Nirmala UI Semilight"/>
              </w:rPr>
              <w:t xml:space="preserve">CRF-08 </w:t>
            </w:r>
          </w:p>
        </w:tc>
        <w:tc>
          <w:tcPr>
            <w:tcW w:w="4140" w:type="dxa"/>
            <w:tcBorders>
              <w:top w:val="nil"/>
              <w:left w:val="dotted" w:sz="4" w:space="0" w:color="auto"/>
              <w:bottom w:val="nil"/>
              <w:right w:val="dotted" w:sz="4" w:space="0" w:color="auto"/>
            </w:tcBorders>
            <w:shd w:val="clear" w:color="auto" w:fill="D9F2D0" w:themeFill="accent6" w:themeFillTint="33"/>
          </w:tcPr>
          <w:p w14:paraId="227118B3" w14:textId="77777777" w:rsidR="008130CE" w:rsidRDefault="008130CE">
            <w:pPr>
              <w:spacing w:line="240" w:lineRule="exact"/>
              <w:rPr>
                <w:rFonts w:ascii="Nirmala UI Semilight" w:hAnsi="Nirmala UI Semilight" w:cs="Nirmala UI Semilight"/>
              </w:rPr>
            </w:pPr>
            <w:r>
              <w:rPr>
                <w:rFonts w:ascii="Nirmala UI Semilight" w:hAnsi="Nirmala UI Semilight" w:cs="Nirmala UI Semilight"/>
              </w:rPr>
              <w:t>CAISO Firm Tx</w:t>
            </w:r>
          </w:p>
        </w:tc>
        <w:tc>
          <w:tcPr>
            <w:tcW w:w="810" w:type="dxa"/>
            <w:tcBorders>
              <w:top w:val="nil"/>
              <w:left w:val="dotted" w:sz="4" w:space="0" w:color="auto"/>
              <w:bottom w:val="nil"/>
              <w:right w:val="dotted" w:sz="4" w:space="0" w:color="auto"/>
            </w:tcBorders>
            <w:shd w:val="clear" w:color="auto" w:fill="D9F2D0" w:themeFill="accent6" w:themeFillTint="33"/>
          </w:tcPr>
          <w:p w14:paraId="67CD585A" w14:textId="77777777" w:rsidR="008130CE" w:rsidRDefault="008130CE">
            <w:pPr>
              <w:spacing w:line="240" w:lineRule="exact"/>
              <w:rPr>
                <w:rFonts w:ascii="Nirmala UI Semilight" w:hAnsi="Nirmala UI Semilight" w:cs="Nirmala UI Semilight"/>
              </w:rPr>
            </w:pPr>
            <w:r w:rsidRPr="000F1D8E">
              <w:rPr>
                <w:rFonts w:ascii="Nirmala UI Semilight" w:hAnsi="Nirmala UI Semilight" w:cs="Nirmala UI Semilight"/>
              </w:rPr>
              <w:t>SRP</w:t>
            </w:r>
          </w:p>
        </w:tc>
        <w:tc>
          <w:tcPr>
            <w:tcW w:w="1261" w:type="dxa"/>
            <w:vMerge/>
            <w:tcBorders>
              <w:left w:val="dotted" w:sz="4" w:space="0" w:color="auto"/>
            </w:tcBorders>
            <w:shd w:val="clear" w:color="auto" w:fill="D9F2D0" w:themeFill="accent6" w:themeFillTint="33"/>
          </w:tcPr>
          <w:p w14:paraId="4BC35FEB" w14:textId="77777777" w:rsidR="008130CE" w:rsidRDefault="008130CE">
            <w:pPr>
              <w:spacing w:line="240" w:lineRule="exact"/>
              <w:rPr>
                <w:rFonts w:ascii="Nirmala UI Semilight" w:hAnsi="Nirmala UI Semilight" w:cs="Nirmala UI Semilight"/>
              </w:rPr>
            </w:pPr>
          </w:p>
        </w:tc>
      </w:tr>
      <w:tr w:rsidR="008130CE" w14:paraId="11EC5B8C" w14:textId="77777777">
        <w:tc>
          <w:tcPr>
            <w:tcW w:w="810" w:type="dxa"/>
            <w:tcBorders>
              <w:top w:val="nil"/>
              <w:left w:val="single" w:sz="4" w:space="0" w:color="auto"/>
              <w:bottom w:val="nil"/>
              <w:right w:val="dotted" w:sz="4" w:space="0" w:color="auto"/>
            </w:tcBorders>
            <w:shd w:val="clear" w:color="auto" w:fill="D9F2D0" w:themeFill="accent6" w:themeFillTint="33"/>
          </w:tcPr>
          <w:p w14:paraId="382F5213" w14:textId="77777777" w:rsidR="008130CE" w:rsidRDefault="008130CE">
            <w:pPr>
              <w:spacing w:line="240" w:lineRule="exact"/>
              <w:rPr>
                <w:rFonts w:ascii="Nirmala UI Semilight" w:hAnsi="Nirmala UI Semilight" w:cs="Nirmala UI Semilight"/>
              </w:rPr>
            </w:pPr>
            <w:r>
              <w:rPr>
                <w:rFonts w:ascii="Nirmala UI Semilight" w:hAnsi="Nirmala UI Semilight" w:cs="Nirmala UI Semilight"/>
              </w:rPr>
              <w:t>3</w:t>
            </w:r>
          </w:p>
        </w:tc>
        <w:tc>
          <w:tcPr>
            <w:tcW w:w="1620" w:type="dxa"/>
            <w:tcBorders>
              <w:top w:val="nil"/>
              <w:left w:val="single" w:sz="4" w:space="0" w:color="auto"/>
              <w:bottom w:val="nil"/>
              <w:right w:val="dotted" w:sz="4" w:space="0" w:color="auto"/>
            </w:tcBorders>
            <w:shd w:val="clear" w:color="auto" w:fill="D9F2D0" w:themeFill="accent6" w:themeFillTint="33"/>
          </w:tcPr>
          <w:p w14:paraId="0A6C7B52" w14:textId="77777777" w:rsidR="008130CE" w:rsidRPr="00D822B7" w:rsidRDefault="008130CE">
            <w:pPr>
              <w:spacing w:line="240" w:lineRule="exact"/>
              <w:rPr>
                <w:rFonts w:ascii="Nirmala UI Semilight" w:hAnsi="Nirmala UI Semilight" w:cs="Nirmala UI Semilight"/>
              </w:rPr>
            </w:pPr>
            <w:r>
              <w:rPr>
                <w:rFonts w:ascii="Nirmala UI Semilight" w:hAnsi="Nirmala UI Semilight" w:cs="Nirmala UI Semilight"/>
              </w:rPr>
              <w:t>2024-</w:t>
            </w:r>
            <w:r w:rsidRPr="00D822B7">
              <w:rPr>
                <w:rFonts w:ascii="Nirmala UI Semilight" w:hAnsi="Nirmala UI Semilight" w:cs="Nirmala UI Semilight"/>
              </w:rPr>
              <w:t xml:space="preserve">CRF-01 </w:t>
            </w:r>
          </w:p>
        </w:tc>
        <w:tc>
          <w:tcPr>
            <w:tcW w:w="4140" w:type="dxa"/>
            <w:tcBorders>
              <w:top w:val="nil"/>
              <w:left w:val="dotted" w:sz="4" w:space="0" w:color="auto"/>
              <w:bottom w:val="nil"/>
              <w:right w:val="dotted" w:sz="4" w:space="0" w:color="auto"/>
            </w:tcBorders>
            <w:shd w:val="clear" w:color="auto" w:fill="D9F2D0" w:themeFill="accent6" w:themeFillTint="33"/>
          </w:tcPr>
          <w:p w14:paraId="7EC3B926" w14:textId="77777777" w:rsidR="008130CE" w:rsidRDefault="008130CE">
            <w:pPr>
              <w:spacing w:line="240" w:lineRule="exact"/>
              <w:rPr>
                <w:rFonts w:ascii="Nirmala UI Semilight" w:hAnsi="Nirmala UI Semilight" w:cs="Nirmala UI Semilight"/>
              </w:rPr>
            </w:pPr>
            <w:r w:rsidRPr="00D822B7">
              <w:rPr>
                <w:rFonts w:ascii="Nirmala UI Semilight" w:hAnsi="Nirmala UI Semilight" w:cs="Nirmala UI Semilight"/>
              </w:rPr>
              <w:t>DAM Optimization/SWEDE TX Limits</w:t>
            </w:r>
          </w:p>
        </w:tc>
        <w:tc>
          <w:tcPr>
            <w:tcW w:w="810" w:type="dxa"/>
            <w:tcBorders>
              <w:top w:val="nil"/>
              <w:left w:val="dotted" w:sz="4" w:space="0" w:color="auto"/>
              <w:bottom w:val="nil"/>
              <w:right w:val="dotted" w:sz="4" w:space="0" w:color="auto"/>
            </w:tcBorders>
            <w:shd w:val="clear" w:color="auto" w:fill="D9F2D0" w:themeFill="accent6" w:themeFillTint="33"/>
          </w:tcPr>
          <w:p w14:paraId="35A2E822" w14:textId="77777777" w:rsidR="008130CE" w:rsidRDefault="008130CE">
            <w:pPr>
              <w:spacing w:line="240" w:lineRule="exact"/>
              <w:rPr>
                <w:rFonts w:ascii="Nirmala UI Semilight" w:hAnsi="Nirmala UI Semilight" w:cs="Nirmala UI Semilight"/>
              </w:rPr>
            </w:pPr>
            <w:r w:rsidRPr="000F1D8E">
              <w:rPr>
                <w:rFonts w:ascii="Nirmala UI Semilight" w:hAnsi="Nirmala UI Semilight" w:cs="Nirmala UI Semilight"/>
              </w:rPr>
              <w:t>NVE</w:t>
            </w:r>
          </w:p>
        </w:tc>
        <w:tc>
          <w:tcPr>
            <w:tcW w:w="1261" w:type="dxa"/>
            <w:vMerge/>
            <w:tcBorders>
              <w:left w:val="dotted" w:sz="4" w:space="0" w:color="auto"/>
            </w:tcBorders>
            <w:shd w:val="clear" w:color="auto" w:fill="D9F2D0" w:themeFill="accent6" w:themeFillTint="33"/>
          </w:tcPr>
          <w:p w14:paraId="45B0279C" w14:textId="77777777" w:rsidR="008130CE" w:rsidRDefault="008130CE">
            <w:pPr>
              <w:spacing w:line="240" w:lineRule="exact"/>
              <w:rPr>
                <w:rFonts w:ascii="Nirmala UI Semilight" w:hAnsi="Nirmala UI Semilight" w:cs="Nirmala UI Semilight"/>
              </w:rPr>
            </w:pPr>
          </w:p>
        </w:tc>
      </w:tr>
      <w:tr w:rsidR="008130CE" w14:paraId="1BF3D742" w14:textId="77777777">
        <w:tc>
          <w:tcPr>
            <w:tcW w:w="810" w:type="dxa"/>
            <w:tcBorders>
              <w:top w:val="nil"/>
              <w:left w:val="single" w:sz="4" w:space="0" w:color="auto"/>
              <w:bottom w:val="nil"/>
              <w:right w:val="dotted" w:sz="4" w:space="0" w:color="auto"/>
            </w:tcBorders>
            <w:shd w:val="clear" w:color="auto" w:fill="D9F2D0" w:themeFill="accent6" w:themeFillTint="33"/>
          </w:tcPr>
          <w:p w14:paraId="3380D577" w14:textId="77777777" w:rsidR="008130CE" w:rsidRDefault="008130CE">
            <w:pPr>
              <w:spacing w:line="240" w:lineRule="exact"/>
              <w:rPr>
                <w:rFonts w:ascii="Nirmala UI Semilight" w:hAnsi="Nirmala UI Semilight" w:cs="Nirmala UI Semilight"/>
              </w:rPr>
            </w:pPr>
            <w:r>
              <w:rPr>
                <w:rFonts w:ascii="Nirmala UI Semilight" w:hAnsi="Nirmala UI Semilight" w:cs="Nirmala UI Semilight"/>
              </w:rPr>
              <w:t>4</w:t>
            </w:r>
          </w:p>
        </w:tc>
        <w:tc>
          <w:tcPr>
            <w:tcW w:w="1620" w:type="dxa"/>
            <w:tcBorders>
              <w:top w:val="nil"/>
              <w:left w:val="single" w:sz="4" w:space="0" w:color="auto"/>
              <w:bottom w:val="nil"/>
              <w:right w:val="dotted" w:sz="4" w:space="0" w:color="auto"/>
            </w:tcBorders>
            <w:shd w:val="clear" w:color="auto" w:fill="D9F2D0" w:themeFill="accent6" w:themeFillTint="33"/>
          </w:tcPr>
          <w:p w14:paraId="7089F445" w14:textId="77777777" w:rsidR="008130CE" w:rsidRDefault="008130CE">
            <w:pPr>
              <w:spacing w:line="240" w:lineRule="exact"/>
              <w:rPr>
                <w:rFonts w:ascii="Nirmala UI Semilight" w:hAnsi="Nirmala UI Semilight" w:cs="Nirmala UI Semilight"/>
              </w:rPr>
            </w:pPr>
            <w:r>
              <w:rPr>
                <w:rFonts w:ascii="Nirmala UI Semilight" w:hAnsi="Nirmala UI Semilight" w:cs="Nirmala UI Semilight"/>
              </w:rPr>
              <w:t>2024-</w:t>
            </w:r>
            <w:r w:rsidRPr="00D822B7">
              <w:rPr>
                <w:rFonts w:ascii="Nirmala UI Semilight" w:hAnsi="Nirmala UI Semilight" w:cs="Nirmala UI Semilight"/>
              </w:rPr>
              <w:t xml:space="preserve">CRF- 12 </w:t>
            </w:r>
          </w:p>
        </w:tc>
        <w:tc>
          <w:tcPr>
            <w:tcW w:w="4140" w:type="dxa"/>
            <w:tcBorders>
              <w:top w:val="nil"/>
              <w:left w:val="dotted" w:sz="4" w:space="0" w:color="auto"/>
              <w:bottom w:val="nil"/>
              <w:right w:val="dotted" w:sz="4" w:space="0" w:color="auto"/>
            </w:tcBorders>
            <w:shd w:val="clear" w:color="auto" w:fill="D9F2D0" w:themeFill="accent6" w:themeFillTint="33"/>
          </w:tcPr>
          <w:p w14:paraId="776CE430" w14:textId="77777777" w:rsidR="008130CE" w:rsidRDefault="008130CE">
            <w:pPr>
              <w:spacing w:line="240" w:lineRule="exact"/>
              <w:rPr>
                <w:rFonts w:ascii="Nirmala UI Semilight" w:hAnsi="Nirmala UI Semilight" w:cs="Nirmala UI Semilight"/>
              </w:rPr>
            </w:pPr>
            <w:r>
              <w:rPr>
                <w:rFonts w:ascii="Nirmala UI Semilight" w:hAnsi="Nirmala UI Semilight" w:cs="Nirmala UI Semilight"/>
              </w:rPr>
              <w:t>ELCC by Vintage/ Indicative QCC for LTS</w:t>
            </w:r>
          </w:p>
        </w:tc>
        <w:tc>
          <w:tcPr>
            <w:tcW w:w="810" w:type="dxa"/>
            <w:tcBorders>
              <w:top w:val="nil"/>
              <w:left w:val="dotted" w:sz="4" w:space="0" w:color="auto"/>
              <w:bottom w:val="nil"/>
              <w:right w:val="dotted" w:sz="4" w:space="0" w:color="auto"/>
            </w:tcBorders>
            <w:shd w:val="clear" w:color="auto" w:fill="D9F2D0" w:themeFill="accent6" w:themeFillTint="33"/>
          </w:tcPr>
          <w:p w14:paraId="277AFFA6" w14:textId="77777777" w:rsidR="008130CE" w:rsidRDefault="008130CE">
            <w:pPr>
              <w:spacing w:line="240" w:lineRule="exact"/>
              <w:rPr>
                <w:rFonts w:ascii="Nirmala UI Semilight" w:hAnsi="Nirmala UI Semilight" w:cs="Nirmala UI Semilight"/>
              </w:rPr>
            </w:pPr>
            <w:r w:rsidRPr="000F1D8E">
              <w:rPr>
                <w:rFonts w:ascii="Nirmala UI Semilight" w:hAnsi="Nirmala UI Semilight" w:cs="Nirmala UI Semilight"/>
              </w:rPr>
              <w:t>APS</w:t>
            </w:r>
          </w:p>
        </w:tc>
        <w:tc>
          <w:tcPr>
            <w:tcW w:w="1261" w:type="dxa"/>
            <w:vMerge/>
            <w:tcBorders>
              <w:left w:val="dotted" w:sz="4" w:space="0" w:color="auto"/>
            </w:tcBorders>
            <w:shd w:val="clear" w:color="auto" w:fill="D9F2D0" w:themeFill="accent6" w:themeFillTint="33"/>
          </w:tcPr>
          <w:p w14:paraId="34AE40AC" w14:textId="77777777" w:rsidR="008130CE" w:rsidRDefault="008130CE">
            <w:pPr>
              <w:spacing w:line="240" w:lineRule="exact"/>
              <w:rPr>
                <w:rFonts w:ascii="Nirmala UI Semilight" w:hAnsi="Nirmala UI Semilight" w:cs="Nirmala UI Semilight"/>
              </w:rPr>
            </w:pPr>
          </w:p>
        </w:tc>
      </w:tr>
      <w:tr w:rsidR="008130CE" w14:paraId="0F378DBD" w14:textId="77777777">
        <w:tc>
          <w:tcPr>
            <w:tcW w:w="810" w:type="dxa"/>
            <w:tcBorders>
              <w:top w:val="nil"/>
              <w:left w:val="single" w:sz="4" w:space="0" w:color="auto"/>
              <w:bottom w:val="nil"/>
              <w:right w:val="dotted" w:sz="4" w:space="0" w:color="auto"/>
            </w:tcBorders>
            <w:shd w:val="clear" w:color="auto" w:fill="D9F2D0" w:themeFill="accent6" w:themeFillTint="33"/>
          </w:tcPr>
          <w:p w14:paraId="7495D178" w14:textId="77777777" w:rsidR="008130CE" w:rsidRDefault="008130CE">
            <w:pPr>
              <w:spacing w:line="240" w:lineRule="exact"/>
              <w:rPr>
                <w:rFonts w:ascii="Nirmala UI Semilight" w:hAnsi="Nirmala UI Semilight" w:cs="Nirmala UI Semilight"/>
              </w:rPr>
            </w:pPr>
            <w:r>
              <w:rPr>
                <w:rFonts w:ascii="Nirmala UI Semilight" w:hAnsi="Nirmala UI Semilight" w:cs="Nirmala UI Semilight"/>
              </w:rPr>
              <w:t>5</w:t>
            </w:r>
          </w:p>
        </w:tc>
        <w:tc>
          <w:tcPr>
            <w:tcW w:w="1620" w:type="dxa"/>
            <w:tcBorders>
              <w:top w:val="nil"/>
              <w:left w:val="single" w:sz="4" w:space="0" w:color="auto"/>
              <w:bottom w:val="nil"/>
              <w:right w:val="dotted" w:sz="4" w:space="0" w:color="auto"/>
            </w:tcBorders>
            <w:shd w:val="clear" w:color="auto" w:fill="D9F2D0" w:themeFill="accent6" w:themeFillTint="33"/>
          </w:tcPr>
          <w:p w14:paraId="3291E846" w14:textId="77777777" w:rsidR="008130CE" w:rsidRDefault="008130CE">
            <w:pPr>
              <w:spacing w:line="240" w:lineRule="exact"/>
              <w:rPr>
                <w:rFonts w:ascii="Nirmala UI Semilight" w:hAnsi="Nirmala UI Semilight" w:cs="Nirmala UI Semilight"/>
              </w:rPr>
            </w:pPr>
            <w:r>
              <w:rPr>
                <w:rFonts w:ascii="Nirmala UI Semilight" w:hAnsi="Nirmala UI Semilight" w:cs="Nirmala UI Semilight"/>
              </w:rPr>
              <w:t>2024-</w:t>
            </w:r>
            <w:r w:rsidRPr="00E73BEB">
              <w:rPr>
                <w:rFonts w:ascii="Nirmala UI Semilight" w:hAnsi="Nirmala UI Semilight" w:cs="Nirmala UI Semilight"/>
              </w:rPr>
              <w:t>CRF-03</w:t>
            </w:r>
          </w:p>
        </w:tc>
        <w:tc>
          <w:tcPr>
            <w:tcW w:w="4140" w:type="dxa"/>
            <w:tcBorders>
              <w:top w:val="nil"/>
              <w:left w:val="dotted" w:sz="4" w:space="0" w:color="auto"/>
              <w:bottom w:val="nil"/>
              <w:right w:val="dotted" w:sz="4" w:space="0" w:color="auto"/>
            </w:tcBorders>
            <w:shd w:val="clear" w:color="auto" w:fill="D9F2D0" w:themeFill="accent6" w:themeFillTint="33"/>
          </w:tcPr>
          <w:p w14:paraId="22888CB0" w14:textId="77777777" w:rsidR="008130CE" w:rsidRDefault="008130CE">
            <w:pPr>
              <w:spacing w:line="240" w:lineRule="exact"/>
              <w:rPr>
                <w:rFonts w:ascii="Nirmala UI Semilight" w:hAnsi="Nirmala UI Semilight" w:cs="Nirmala UI Semilight"/>
              </w:rPr>
            </w:pPr>
            <w:r w:rsidRPr="00310E77">
              <w:rPr>
                <w:rFonts w:ascii="Nirmala UI Semilight" w:hAnsi="Nirmala UI Semilight" w:cs="Nirmala UI Semilight"/>
              </w:rPr>
              <w:t>Demand Response QCC</w:t>
            </w:r>
          </w:p>
        </w:tc>
        <w:tc>
          <w:tcPr>
            <w:tcW w:w="810" w:type="dxa"/>
            <w:tcBorders>
              <w:top w:val="nil"/>
              <w:left w:val="dotted" w:sz="4" w:space="0" w:color="auto"/>
              <w:bottom w:val="nil"/>
              <w:right w:val="dotted" w:sz="4" w:space="0" w:color="auto"/>
            </w:tcBorders>
            <w:shd w:val="clear" w:color="auto" w:fill="D9F2D0" w:themeFill="accent6" w:themeFillTint="33"/>
          </w:tcPr>
          <w:p w14:paraId="6B8A0BCF" w14:textId="77777777" w:rsidR="008130CE" w:rsidRDefault="008130CE">
            <w:pPr>
              <w:spacing w:line="240" w:lineRule="exact"/>
              <w:rPr>
                <w:rFonts w:ascii="Nirmala UI Semilight" w:hAnsi="Nirmala UI Semilight" w:cs="Nirmala UI Semilight"/>
              </w:rPr>
            </w:pPr>
            <w:r w:rsidRPr="000F1D8E">
              <w:rPr>
                <w:rFonts w:ascii="Nirmala UI Semilight" w:hAnsi="Nirmala UI Semilight" w:cs="Nirmala UI Semilight"/>
              </w:rPr>
              <w:t>APS</w:t>
            </w:r>
          </w:p>
        </w:tc>
        <w:tc>
          <w:tcPr>
            <w:tcW w:w="1261" w:type="dxa"/>
            <w:vMerge/>
            <w:tcBorders>
              <w:left w:val="dotted" w:sz="4" w:space="0" w:color="auto"/>
            </w:tcBorders>
            <w:shd w:val="clear" w:color="auto" w:fill="D9F2D0" w:themeFill="accent6" w:themeFillTint="33"/>
          </w:tcPr>
          <w:p w14:paraId="29F3F62B" w14:textId="77777777" w:rsidR="008130CE" w:rsidRDefault="008130CE">
            <w:pPr>
              <w:spacing w:line="240" w:lineRule="exact"/>
              <w:rPr>
                <w:rFonts w:ascii="Nirmala UI Semilight" w:hAnsi="Nirmala UI Semilight" w:cs="Nirmala UI Semilight"/>
              </w:rPr>
            </w:pPr>
          </w:p>
        </w:tc>
      </w:tr>
      <w:tr w:rsidR="008130CE" w14:paraId="1042BBA0" w14:textId="77777777">
        <w:tc>
          <w:tcPr>
            <w:tcW w:w="810" w:type="dxa"/>
            <w:tcBorders>
              <w:top w:val="nil"/>
              <w:left w:val="single" w:sz="4" w:space="0" w:color="auto"/>
              <w:bottom w:val="nil"/>
              <w:right w:val="dotted" w:sz="4" w:space="0" w:color="auto"/>
            </w:tcBorders>
            <w:shd w:val="clear" w:color="auto" w:fill="D9F2D0" w:themeFill="accent6" w:themeFillTint="33"/>
          </w:tcPr>
          <w:p w14:paraId="61455563" w14:textId="77777777" w:rsidR="008130CE" w:rsidRDefault="008130CE">
            <w:pPr>
              <w:spacing w:line="240" w:lineRule="exact"/>
              <w:rPr>
                <w:rFonts w:ascii="Nirmala UI Semilight" w:hAnsi="Nirmala UI Semilight" w:cs="Nirmala UI Semilight"/>
              </w:rPr>
            </w:pPr>
            <w:r>
              <w:rPr>
                <w:rFonts w:ascii="Nirmala UI Semilight" w:hAnsi="Nirmala UI Semilight" w:cs="Nirmala UI Semilight"/>
              </w:rPr>
              <w:t>6</w:t>
            </w:r>
          </w:p>
        </w:tc>
        <w:tc>
          <w:tcPr>
            <w:tcW w:w="1620" w:type="dxa"/>
            <w:tcBorders>
              <w:top w:val="nil"/>
              <w:left w:val="single" w:sz="4" w:space="0" w:color="auto"/>
              <w:bottom w:val="nil"/>
              <w:right w:val="dotted" w:sz="4" w:space="0" w:color="auto"/>
            </w:tcBorders>
            <w:shd w:val="clear" w:color="auto" w:fill="D9F2D0" w:themeFill="accent6" w:themeFillTint="33"/>
          </w:tcPr>
          <w:p w14:paraId="3BE9ACFA" w14:textId="77777777" w:rsidR="008130CE" w:rsidRPr="00D822B7" w:rsidRDefault="008130CE">
            <w:pPr>
              <w:spacing w:line="240" w:lineRule="exact"/>
              <w:rPr>
                <w:rFonts w:ascii="Nirmala UI Semilight" w:hAnsi="Nirmala UI Semilight" w:cs="Nirmala UI Semilight"/>
              </w:rPr>
            </w:pPr>
            <w:r>
              <w:rPr>
                <w:rFonts w:ascii="Nirmala UI Semilight" w:hAnsi="Nirmala UI Semilight" w:cs="Nirmala UI Semilight"/>
              </w:rPr>
              <w:t>2024-</w:t>
            </w:r>
            <w:r w:rsidRPr="00D822B7">
              <w:rPr>
                <w:rFonts w:ascii="Nirmala UI Semilight" w:hAnsi="Nirmala UI Semilight" w:cs="Nirmala UI Semilight"/>
              </w:rPr>
              <w:t xml:space="preserve">CRF-02 </w:t>
            </w:r>
          </w:p>
        </w:tc>
        <w:tc>
          <w:tcPr>
            <w:tcW w:w="4140" w:type="dxa"/>
            <w:tcBorders>
              <w:top w:val="nil"/>
              <w:left w:val="dotted" w:sz="4" w:space="0" w:color="auto"/>
              <w:bottom w:val="nil"/>
              <w:right w:val="dotted" w:sz="4" w:space="0" w:color="auto"/>
            </w:tcBorders>
            <w:shd w:val="clear" w:color="auto" w:fill="D9F2D0" w:themeFill="accent6" w:themeFillTint="33"/>
          </w:tcPr>
          <w:p w14:paraId="0E9DCFE2" w14:textId="77777777" w:rsidR="008130CE" w:rsidRDefault="008130CE">
            <w:pPr>
              <w:spacing w:line="240" w:lineRule="exact"/>
              <w:rPr>
                <w:rFonts w:ascii="Nirmala UI Semilight" w:hAnsi="Nirmala UI Semilight" w:cs="Nirmala UI Semilight"/>
              </w:rPr>
            </w:pPr>
            <w:r w:rsidRPr="00734F03">
              <w:rPr>
                <w:rFonts w:ascii="Nirmala UI Semilight" w:hAnsi="Nirmala UI Semilight" w:cs="Nirmala UI Semilight"/>
              </w:rPr>
              <w:t>Earlier FS Metrics/ Monthly Volatility</w:t>
            </w:r>
          </w:p>
        </w:tc>
        <w:tc>
          <w:tcPr>
            <w:tcW w:w="810" w:type="dxa"/>
            <w:tcBorders>
              <w:top w:val="nil"/>
              <w:left w:val="dotted" w:sz="4" w:space="0" w:color="auto"/>
              <w:bottom w:val="nil"/>
              <w:right w:val="dotted" w:sz="4" w:space="0" w:color="auto"/>
            </w:tcBorders>
            <w:shd w:val="clear" w:color="auto" w:fill="D9F2D0" w:themeFill="accent6" w:themeFillTint="33"/>
          </w:tcPr>
          <w:p w14:paraId="573CDB81" w14:textId="77777777" w:rsidR="008130CE" w:rsidRDefault="008130CE">
            <w:pPr>
              <w:spacing w:line="240" w:lineRule="exact"/>
              <w:rPr>
                <w:rFonts w:ascii="Nirmala UI Semilight" w:hAnsi="Nirmala UI Semilight" w:cs="Nirmala UI Semilight"/>
              </w:rPr>
            </w:pPr>
            <w:r w:rsidRPr="000F1D8E">
              <w:rPr>
                <w:rFonts w:ascii="Nirmala UI Semilight" w:hAnsi="Nirmala UI Semilight" w:cs="Nirmala UI Semilight"/>
              </w:rPr>
              <w:t>NVE</w:t>
            </w:r>
          </w:p>
        </w:tc>
        <w:tc>
          <w:tcPr>
            <w:tcW w:w="1261" w:type="dxa"/>
            <w:vMerge/>
            <w:tcBorders>
              <w:left w:val="dotted" w:sz="4" w:space="0" w:color="auto"/>
            </w:tcBorders>
            <w:shd w:val="clear" w:color="auto" w:fill="D9F2D0" w:themeFill="accent6" w:themeFillTint="33"/>
          </w:tcPr>
          <w:p w14:paraId="54BDCBDD" w14:textId="77777777" w:rsidR="008130CE" w:rsidRDefault="008130CE">
            <w:pPr>
              <w:spacing w:line="240" w:lineRule="exact"/>
              <w:rPr>
                <w:rFonts w:ascii="Nirmala UI Semilight" w:hAnsi="Nirmala UI Semilight" w:cs="Nirmala UI Semilight"/>
              </w:rPr>
            </w:pPr>
          </w:p>
        </w:tc>
      </w:tr>
      <w:tr w:rsidR="008130CE" w14:paraId="65338D9A" w14:textId="77777777">
        <w:tc>
          <w:tcPr>
            <w:tcW w:w="810" w:type="dxa"/>
            <w:tcBorders>
              <w:top w:val="nil"/>
              <w:bottom w:val="nil"/>
              <w:right w:val="dotted" w:sz="4" w:space="0" w:color="auto"/>
            </w:tcBorders>
            <w:shd w:val="clear" w:color="auto" w:fill="D9F2D0" w:themeFill="accent6" w:themeFillTint="33"/>
          </w:tcPr>
          <w:p w14:paraId="6B249089" w14:textId="77777777" w:rsidR="008130CE" w:rsidRDefault="008130CE">
            <w:pPr>
              <w:spacing w:line="240" w:lineRule="exact"/>
              <w:rPr>
                <w:rFonts w:ascii="Nirmala UI Semilight" w:hAnsi="Nirmala UI Semilight" w:cs="Nirmala UI Semilight"/>
              </w:rPr>
            </w:pPr>
            <w:r>
              <w:rPr>
                <w:rFonts w:ascii="Nirmala UI Semilight" w:hAnsi="Nirmala UI Semilight" w:cs="Nirmala UI Semilight"/>
              </w:rPr>
              <w:t>7</w:t>
            </w:r>
          </w:p>
        </w:tc>
        <w:tc>
          <w:tcPr>
            <w:tcW w:w="1620" w:type="dxa"/>
            <w:tcBorders>
              <w:top w:val="nil"/>
              <w:bottom w:val="nil"/>
              <w:right w:val="dotted" w:sz="4" w:space="0" w:color="auto"/>
            </w:tcBorders>
            <w:shd w:val="clear" w:color="auto" w:fill="D9F2D0" w:themeFill="accent6" w:themeFillTint="33"/>
          </w:tcPr>
          <w:p w14:paraId="74C9C670" w14:textId="77777777" w:rsidR="008130CE" w:rsidRDefault="008130CE">
            <w:pPr>
              <w:spacing w:line="240" w:lineRule="exact"/>
              <w:rPr>
                <w:rFonts w:ascii="Nirmala UI Semilight" w:hAnsi="Nirmala UI Semilight" w:cs="Nirmala UI Semilight"/>
              </w:rPr>
            </w:pPr>
            <w:r>
              <w:rPr>
                <w:rFonts w:ascii="Nirmala UI Semilight" w:hAnsi="Nirmala UI Semilight" w:cs="Nirmala UI Semilight"/>
              </w:rPr>
              <w:t>2024</w:t>
            </w:r>
            <w:r w:rsidRPr="000F1D8E">
              <w:rPr>
                <w:rFonts w:ascii="Nirmala UI Semilight" w:hAnsi="Nirmala UI Semilight" w:cs="Nirmala UI Semilight"/>
              </w:rPr>
              <w:t>- CRF-10</w:t>
            </w:r>
          </w:p>
        </w:tc>
        <w:tc>
          <w:tcPr>
            <w:tcW w:w="4140" w:type="dxa"/>
            <w:tcBorders>
              <w:top w:val="nil"/>
              <w:left w:val="dotted" w:sz="4" w:space="0" w:color="auto"/>
              <w:bottom w:val="nil"/>
              <w:right w:val="dotted" w:sz="4" w:space="0" w:color="auto"/>
            </w:tcBorders>
            <w:shd w:val="clear" w:color="auto" w:fill="D9F2D0" w:themeFill="accent6" w:themeFillTint="33"/>
          </w:tcPr>
          <w:p w14:paraId="7BCE9B76" w14:textId="77777777" w:rsidR="008130CE" w:rsidRDefault="008130CE">
            <w:pPr>
              <w:spacing w:line="240" w:lineRule="exact"/>
              <w:rPr>
                <w:rFonts w:ascii="Nirmala UI Semilight" w:hAnsi="Nirmala UI Semilight" w:cs="Nirmala UI Semilight"/>
              </w:rPr>
            </w:pPr>
            <w:r w:rsidRPr="00310E77">
              <w:rPr>
                <w:rFonts w:ascii="Nirmala UI Semilight" w:hAnsi="Nirmala UI Semilight" w:cs="Nirmala UI Semilight"/>
              </w:rPr>
              <w:t xml:space="preserve">Capability Testing </w:t>
            </w:r>
            <w:r>
              <w:rPr>
                <w:rFonts w:ascii="Nirmala UI Semilight" w:hAnsi="Nirmala UI Semilight" w:cs="Nirmala UI Semilight"/>
              </w:rPr>
              <w:t>O</w:t>
            </w:r>
            <w:r w:rsidRPr="00310E77">
              <w:rPr>
                <w:rFonts w:ascii="Nirmala UI Semilight" w:hAnsi="Nirmala UI Semilight" w:cs="Nirmala UI Semilight"/>
              </w:rPr>
              <w:t xml:space="preserve">ff </w:t>
            </w:r>
            <w:r>
              <w:rPr>
                <w:rFonts w:ascii="Nirmala UI Semilight" w:hAnsi="Nirmala UI Semilight" w:cs="Nirmala UI Semilight"/>
              </w:rPr>
              <w:t>S</w:t>
            </w:r>
            <w:r w:rsidRPr="00310E77">
              <w:rPr>
                <w:rFonts w:ascii="Nirmala UI Semilight" w:hAnsi="Nirmala UI Semilight" w:cs="Nirmala UI Semilight"/>
              </w:rPr>
              <w:t>eason</w:t>
            </w:r>
          </w:p>
        </w:tc>
        <w:tc>
          <w:tcPr>
            <w:tcW w:w="810" w:type="dxa"/>
            <w:tcBorders>
              <w:top w:val="nil"/>
              <w:left w:val="dotted" w:sz="4" w:space="0" w:color="auto"/>
              <w:bottom w:val="nil"/>
              <w:right w:val="dotted" w:sz="4" w:space="0" w:color="auto"/>
            </w:tcBorders>
            <w:shd w:val="clear" w:color="auto" w:fill="D9F2D0" w:themeFill="accent6" w:themeFillTint="33"/>
          </w:tcPr>
          <w:p w14:paraId="402F09E9" w14:textId="77777777" w:rsidR="008130CE" w:rsidRDefault="008130CE">
            <w:pPr>
              <w:spacing w:line="240" w:lineRule="exact"/>
              <w:rPr>
                <w:rFonts w:ascii="Nirmala UI Semilight" w:hAnsi="Nirmala UI Semilight" w:cs="Nirmala UI Semilight"/>
              </w:rPr>
            </w:pPr>
            <w:r w:rsidRPr="000F1D8E">
              <w:rPr>
                <w:rFonts w:ascii="Nirmala UI Semilight" w:hAnsi="Nirmala UI Semilight" w:cs="Nirmala UI Semilight"/>
              </w:rPr>
              <w:t>SRP</w:t>
            </w:r>
          </w:p>
        </w:tc>
        <w:tc>
          <w:tcPr>
            <w:tcW w:w="1261" w:type="dxa"/>
            <w:vMerge/>
            <w:tcBorders>
              <w:left w:val="dotted" w:sz="4" w:space="0" w:color="auto"/>
            </w:tcBorders>
            <w:shd w:val="clear" w:color="auto" w:fill="D9F2D0" w:themeFill="accent6" w:themeFillTint="33"/>
          </w:tcPr>
          <w:p w14:paraId="679BF5DA" w14:textId="77777777" w:rsidR="008130CE" w:rsidRDefault="008130CE">
            <w:pPr>
              <w:spacing w:line="240" w:lineRule="exact"/>
              <w:rPr>
                <w:rFonts w:ascii="Nirmala UI Semilight" w:hAnsi="Nirmala UI Semilight" w:cs="Nirmala UI Semilight"/>
              </w:rPr>
            </w:pPr>
          </w:p>
        </w:tc>
      </w:tr>
      <w:tr w:rsidR="008130CE" w14:paraId="489F3EB9" w14:textId="77777777">
        <w:tc>
          <w:tcPr>
            <w:tcW w:w="810" w:type="dxa"/>
            <w:tcBorders>
              <w:top w:val="nil"/>
              <w:bottom w:val="nil"/>
              <w:right w:val="dotted" w:sz="4" w:space="0" w:color="auto"/>
            </w:tcBorders>
            <w:shd w:val="clear" w:color="auto" w:fill="D9F2D0" w:themeFill="accent6" w:themeFillTint="33"/>
          </w:tcPr>
          <w:p w14:paraId="05CC2BE2" w14:textId="77777777" w:rsidR="008130CE" w:rsidRDefault="008130CE">
            <w:pPr>
              <w:spacing w:line="240" w:lineRule="exact"/>
              <w:rPr>
                <w:rFonts w:ascii="Nirmala UI Semilight" w:hAnsi="Nirmala UI Semilight" w:cs="Nirmala UI Semilight"/>
              </w:rPr>
            </w:pPr>
            <w:r>
              <w:rPr>
                <w:rFonts w:ascii="Nirmala UI Semilight" w:hAnsi="Nirmala UI Semilight" w:cs="Nirmala UI Semilight"/>
              </w:rPr>
              <w:t>8</w:t>
            </w:r>
          </w:p>
        </w:tc>
        <w:tc>
          <w:tcPr>
            <w:tcW w:w="1620" w:type="dxa"/>
            <w:tcBorders>
              <w:top w:val="nil"/>
              <w:bottom w:val="nil"/>
              <w:right w:val="dotted" w:sz="4" w:space="0" w:color="auto"/>
            </w:tcBorders>
            <w:shd w:val="clear" w:color="auto" w:fill="D9F2D0" w:themeFill="accent6" w:themeFillTint="33"/>
          </w:tcPr>
          <w:p w14:paraId="04BC35E7" w14:textId="77777777" w:rsidR="008130CE" w:rsidRPr="00E73BEB" w:rsidRDefault="008130CE">
            <w:pPr>
              <w:spacing w:line="240" w:lineRule="exact"/>
              <w:rPr>
                <w:rFonts w:ascii="Nirmala UI Semilight" w:hAnsi="Nirmala UI Semilight" w:cs="Nirmala UI Semilight"/>
              </w:rPr>
            </w:pPr>
            <w:r>
              <w:rPr>
                <w:rFonts w:ascii="Nirmala UI Semilight" w:hAnsi="Nirmala UI Semilight" w:cs="Nirmala UI Semilight"/>
              </w:rPr>
              <w:t>2024-</w:t>
            </w:r>
            <w:r w:rsidRPr="00E73BEB">
              <w:rPr>
                <w:rFonts w:ascii="Nirmala UI Semilight" w:hAnsi="Nirmala UI Semilight" w:cs="Nirmala UI Semilight"/>
              </w:rPr>
              <w:t>CRF-24</w:t>
            </w:r>
          </w:p>
        </w:tc>
        <w:tc>
          <w:tcPr>
            <w:tcW w:w="4140" w:type="dxa"/>
            <w:tcBorders>
              <w:top w:val="nil"/>
              <w:left w:val="dotted" w:sz="4" w:space="0" w:color="auto"/>
              <w:bottom w:val="nil"/>
              <w:right w:val="dotted" w:sz="4" w:space="0" w:color="auto"/>
            </w:tcBorders>
            <w:shd w:val="clear" w:color="auto" w:fill="D9F2D0" w:themeFill="accent6" w:themeFillTint="33"/>
          </w:tcPr>
          <w:p w14:paraId="436C8641" w14:textId="77777777" w:rsidR="008130CE" w:rsidRDefault="008130CE">
            <w:pPr>
              <w:spacing w:line="240" w:lineRule="exact"/>
              <w:rPr>
                <w:rFonts w:ascii="Nirmala UI Semilight" w:hAnsi="Nirmala UI Semilight" w:cs="Nirmala UI Semilight"/>
              </w:rPr>
            </w:pPr>
            <w:r>
              <w:rPr>
                <w:rFonts w:ascii="Nirmala UI Semilight" w:hAnsi="Nirmala UI Semilight" w:cs="Nirmala UI Semilight"/>
              </w:rPr>
              <w:t>Flat Load and PRMs</w:t>
            </w:r>
          </w:p>
        </w:tc>
        <w:tc>
          <w:tcPr>
            <w:tcW w:w="810" w:type="dxa"/>
            <w:tcBorders>
              <w:top w:val="nil"/>
              <w:left w:val="dotted" w:sz="4" w:space="0" w:color="auto"/>
              <w:bottom w:val="nil"/>
              <w:right w:val="dotted" w:sz="4" w:space="0" w:color="auto"/>
            </w:tcBorders>
            <w:shd w:val="clear" w:color="auto" w:fill="D9F2D0" w:themeFill="accent6" w:themeFillTint="33"/>
          </w:tcPr>
          <w:p w14:paraId="35675351" w14:textId="77777777" w:rsidR="008130CE" w:rsidRDefault="008130CE">
            <w:pPr>
              <w:spacing w:line="240" w:lineRule="exact"/>
              <w:rPr>
                <w:rFonts w:ascii="Nirmala UI Semilight" w:hAnsi="Nirmala UI Semilight" w:cs="Nirmala UI Semilight"/>
              </w:rPr>
            </w:pPr>
            <w:r w:rsidRPr="000F1D8E">
              <w:rPr>
                <w:rFonts w:ascii="Nirmala UI Semilight" w:hAnsi="Nirmala UI Semilight" w:cs="Nirmala UI Semilight"/>
              </w:rPr>
              <w:t>PAC</w:t>
            </w:r>
          </w:p>
        </w:tc>
        <w:tc>
          <w:tcPr>
            <w:tcW w:w="1261" w:type="dxa"/>
            <w:vMerge/>
            <w:tcBorders>
              <w:left w:val="dotted" w:sz="4" w:space="0" w:color="auto"/>
            </w:tcBorders>
            <w:shd w:val="clear" w:color="auto" w:fill="D9F2D0" w:themeFill="accent6" w:themeFillTint="33"/>
          </w:tcPr>
          <w:p w14:paraId="57F40CE3" w14:textId="77777777" w:rsidR="008130CE" w:rsidRDefault="008130CE">
            <w:pPr>
              <w:spacing w:line="240" w:lineRule="exact"/>
              <w:rPr>
                <w:rFonts w:ascii="Nirmala UI Semilight" w:hAnsi="Nirmala UI Semilight" w:cs="Nirmala UI Semilight"/>
              </w:rPr>
            </w:pPr>
          </w:p>
        </w:tc>
      </w:tr>
      <w:tr w:rsidR="008130CE" w14:paraId="730D62F9" w14:textId="77777777">
        <w:tc>
          <w:tcPr>
            <w:tcW w:w="810" w:type="dxa"/>
            <w:tcBorders>
              <w:top w:val="nil"/>
              <w:bottom w:val="single" w:sz="12" w:space="0" w:color="auto"/>
              <w:right w:val="dotted" w:sz="4" w:space="0" w:color="auto"/>
            </w:tcBorders>
            <w:shd w:val="clear" w:color="auto" w:fill="D9F2D0" w:themeFill="accent6" w:themeFillTint="33"/>
          </w:tcPr>
          <w:p w14:paraId="20362C61" w14:textId="77777777" w:rsidR="008130CE" w:rsidRDefault="008130CE">
            <w:pPr>
              <w:spacing w:line="240" w:lineRule="exact"/>
              <w:rPr>
                <w:rFonts w:ascii="Nirmala UI Semilight" w:hAnsi="Nirmala UI Semilight" w:cs="Nirmala UI Semilight"/>
              </w:rPr>
            </w:pPr>
            <w:r>
              <w:rPr>
                <w:rFonts w:ascii="Nirmala UI Semilight" w:hAnsi="Nirmala UI Semilight" w:cs="Nirmala UI Semilight"/>
              </w:rPr>
              <w:t>9</w:t>
            </w:r>
          </w:p>
        </w:tc>
        <w:tc>
          <w:tcPr>
            <w:tcW w:w="1620" w:type="dxa"/>
            <w:tcBorders>
              <w:top w:val="nil"/>
              <w:bottom w:val="single" w:sz="12" w:space="0" w:color="auto"/>
              <w:right w:val="dotted" w:sz="4" w:space="0" w:color="auto"/>
            </w:tcBorders>
            <w:shd w:val="clear" w:color="auto" w:fill="D9F2D0" w:themeFill="accent6" w:themeFillTint="33"/>
          </w:tcPr>
          <w:p w14:paraId="595151AA" w14:textId="77777777" w:rsidR="008130CE" w:rsidRPr="00E73BEB" w:rsidRDefault="008130CE">
            <w:pPr>
              <w:spacing w:line="240" w:lineRule="exact"/>
              <w:rPr>
                <w:rFonts w:ascii="Nirmala UI Semilight" w:hAnsi="Nirmala UI Semilight" w:cs="Nirmala UI Semilight"/>
              </w:rPr>
            </w:pPr>
            <w:r>
              <w:rPr>
                <w:rFonts w:ascii="Nirmala UI Semilight" w:hAnsi="Nirmala UI Semilight" w:cs="Nirmala UI Semilight"/>
              </w:rPr>
              <w:t>2024-</w:t>
            </w:r>
            <w:r w:rsidRPr="00E73BEB">
              <w:rPr>
                <w:rFonts w:ascii="Nirmala UI Semilight" w:hAnsi="Nirmala UI Semilight" w:cs="Nirmala UI Semilight"/>
              </w:rPr>
              <w:t>CRF-14</w:t>
            </w:r>
          </w:p>
        </w:tc>
        <w:tc>
          <w:tcPr>
            <w:tcW w:w="4140" w:type="dxa"/>
            <w:tcBorders>
              <w:top w:val="nil"/>
              <w:left w:val="dotted" w:sz="4" w:space="0" w:color="auto"/>
              <w:bottom w:val="single" w:sz="12" w:space="0" w:color="auto"/>
              <w:right w:val="dotted" w:sz="4" w:space="0" w:color="auto"/>
            </w:tcBorders>
            <w:shd w:val="clear" w:color="auto" w:fill="D9F2D0" w:themeFill="accent6" w:themeFillTint="33"/>
          </w:tcPr>
          <w:p w14:paraId="1FB6CB17" w14:textId="77777777" w:rsidR="008130CE" w:rsidRDefault="008130CE">
            <w:pPr>
              <w:spacing w:line="240" w:lineRule="exact"/>
              <w:rPr>
                <w:rFonts w:ascii="Nirmala UI Semilight" w:hAnsi="Nirmala UI Semilight" w:cs="Nirmala UI Semilight"/>
              </w:rPr>
            </w:pPr>
            <w:r w:rsidRPr="00310E77">
              <w:rPr>
                <w:rFonts w:ascii="Nirmala UI Semilight" w:hAnsi="Nirmala UI Semilight" w:cs="Nirmala UI Semilight"/>
              </w:rPr>
              <w:t xml:space="preserve">Joint </w:t>
            </w:r>
            <w:r>
              <w:rPr>
                <w:rFonts w:ascii="Nirmala UI Semilight" w:hAnsi="Nirmala UI Semilight" w:cs="Nirmala UI Semilight"/>
              </w:rPr>
              <w:t>O</w:t>
            </w:r>
            <w:r w:rsidRPr="00310E77">
              <w:rPr>
                <w:rFonts w:ascii="Nirmala UI Semilight" w:hAnsi="Nirmala UI Semilight" w:cs="Nirmala UI Semilight"/>
              </w:rPr>
              <w:t xml:space="preserve">wner </w:t>
            </w:r>
            <w:r>
              <w:rPr>
                <w:rFonts w:ascii="Nirmala UI Semilight" w:hAnsi="Nirmala UI Semilight" w:cs="Nirmala UI Semilight"/>
              </w:rPr>
              <w:t>F</w:t>
            </w:r>
            <w:r w:rsidRPr="00310E77">
              <w:rPr>
                <w:rFonts w:ascii="Nirmala UI Semilight" w:hAnsi="Nirmala UI Semilight" w:cs="Nirmala UI Semilight"/>
              </w:rPr>
              <w:t>lexibility</w:t>
            </w:r>
          </w:p>
        </w:tc>
        <w:tc>
          <w:tcPr>
            <w:tcW w:w="810" w:type="dxa"/>
            <w:tcBorders>
              <w:top w:val="nil"/>
              <w:left w:val="dotted" w:sz="4" w:space="0" w:color="auto"/>
              <w:bottom w:val="single" w:sz="12" w:space="0" w:color="auto"/>
              <w:right w:val="dotted" w:sz="4" w:space="0" w:color="auto"/>
            </w:tcBorders>
            <w:shd w:val="clear" w:color="auto" w:fill="D9F2D0" w:themeFill="accent6" w:themeFillTint="33"/>
          </w:tcPr>
          <w:p w14:paraId="4299ED26" w14:textId="77777777" w:rsidR="008130CE" w:rsidRDefault="008130CE">
            <w:pPr>
              <w:spacing w:line="240" w:lineRule="exact"/>
              <w:rPr>
                <w:rFonts w:ascii="Nirmala UI Semilight" w:hAnsi="Nirmala UI Semilight" w:cs="Nirmala UI Semilight"/>
              </w:rPr>
            </w:pPr>
            <w:r w:rsidRPr="000F1D8E">
              <w:rPr>
                <w:rFonts w:ascii="Nirmala UI Semilight" w:hAnsi="Nirmala UI Semilight" w:cs="Nirmala UI Semilight"/>
              </w:rPr>
              <w:t>IPC</w:t>
            </w:r>
          </w:p>
        </w:tc>
        <w:tc>
          <w:tcPr>
            <w:tcW w:w="1261" w:type="dxa"/>
            <w:vMerge/>
            <w:tcBorders>
              <w:left w:val="dotted" w:sz="4" w:space="0" w:color="auto"/>
              <w:bottom w:val="single" w:sz="12" w:space="0" w:color="auto"/>
            </w:tcBorders>
            <w:shd w:val="clear" w:color="auto" w:fill="D9F2D0" w:themeFill="accent6" w:themeFillTint="33"/>
          </w:tcPr>
          <w:p w14:paraId="262BA2B3" w14:textId="77777777" w:rsidR="008130CE" w:rsidRDefault="008130CE">
            <w:pPr>
              <w:spacing w:line="240" w:lineRule="exact"/>
              <w:rPr>
                <w:rFonts w:ascii="Nirmala UI Semilight" w:hAnsi="Nirmala UI Semilight" w:cs="Nirmala UI Semilight"/>
              </w:rPr>
            </w:pPr>
          </w:p>
        </w:tc>
      </w:tr>
      <w:tr w:rsidR="008130CE" w14:paraId="19DCE150" w14:textId="77777777">
        <w:tc>
          <w:tcPr>
            <w:tcW w:w="810" w:type="dxa"/>
            <w:tcBorders>
              <w:top w:val="single" w:sz="12" w:space="0" w:color="auto"/>
              <w:bottom w:val="nil"/>
              <w:right w:val="dotted" w:sz="4" w:space="0" w:color="auto"/>
            </w:tcBorders>
            <w:shd w:val="clear" w:color="auto" w:fill="CAEDFB" w:themeFill="accent4" w:themeFillTint="33"/>
          </w:tcPr>
          <w:p w14:paraId="639AE244" w14:textId="77777777" w:rsidR="008130CE" w:rsidRDefault="008130CE">
            <w:pPr>
              <w:spacing w:line="240" w:lineRule="exact"/>
              <w:rPr>
                <w:rFonts w:ascii="Nirmala UI Semilight" w:hAnsi="Nirmala UI Semilight" w:cs="Nirmala UI Semilight"/>
              </w:rPr>
            </w:pPr>
            <w:r>
              <w:rPr>
                <w:rFonts w:ascii="Nirmala UI Semilight" w:hAnsi="Nirmala UI Semilight" w:cs="Nirmala UI Semilight"/>
              </w:rPr>
              <w:t>10</w:t>
            </w:r>
          </w:p>
        </w:tc>
        <w:tc>
          <w:tcPr>
            <w:tcW w:w="1620" w:type="dxa"/>
            <w:tcBorders>
              <w:top w:val="single" w:sz="12" w:space="0" w:color="auto"/>
              <w:bottom w:val="nil"/>
              <w:right w:val="dotted" w:sz="4" w:space="0" w:color="auto"/>
            </w:tcBorders>
            <w:shd w:val="clear" w:color="auto" w:fill="CAEDFB" w:themeFill="accent4" w:themeFillTint="33"/>
          </w:tcPr>
          <w:p w14:paraId="47E735A0" w14:textId="77777777" w:rsidR="008130CE" w:rsidRPr="00E73BEB" w:rsidRDefault="008130CE">
            <w:pPr>
              <w:spacing w:line="240" w:lineRule="exact"/>
              <w:rPr>
                <w:rFonts w:ascii="Nirmala UI Semilight" w:hAnsi="Nirmala UI Semilight" w:cs="Nirmala UI Semilight"/>
              </w:rPr>
            </w:pPr>
            <w:r>
              <w:rPr>
                <w:rFonts w:ascii="Nirmala UI Semilight" w:hAnsi="Nirmala UI Semilight" w:cs="Nirmala UI Semilight"/>
              </w:rPr>
              <w:t>2024-CRF-15</w:t>
            </w:r>
          </w:p>
        </w:tc>
        <w:tc>
          <w:tcPr>
            <w:tcW w:w="4140" w:type="dxa"/>
            <w:tcBorders>
              <w:top w:val="single" w:sz="12" w:space="0" w:color="auto"/>
              <w:left w:val="dotted" w:sz="4" w:space="0" w:color="auto"/>
              <w:bottom w:val="nil"/>
              <w:right w:val="dotted" w:sz="4" w:space="0" w:color="auto"/>
            </w:tcBorders>
            <w:shd w:val="clear" w:color="auto" w:fill="CAEDFB" w:themeFill="accent4" w:themeFillTint="33"/>
          </w:tcPr>
          <w:p w14:paraId="0C011CAF" w14:textId="77777777" w:rsidR="008130CE" w:rsidRDefault="008130CE">
            <w:pPr>
              <w:spacing w:line="240" w:lineRule="exact"/>
              <w:rPr>
                <w:rFonts w:ascii="Nirmala UI Semilight" w:hAnsi="Nirmala UI Semilight" w:cs="Nirmala UI Semilight"/>
              </w:rPr>
            </w:pPr>
            <w:r w:rsidRPr="00310E77">
              <w:rPr>
                <w:rFonts w:ascii="Nirmala UI Semilight" w:hAnsi="Nirmala UI Semilight" w:cs="Nirmala UI Semilight"/>
              </w:rPr>
              <w:t>Planned Outage Clarification</w:t>
            </w:r>
          </w:p>
        </w:tc>
        <w:tc>
          <w:tcPr>
            <w:tcW w:w="810" w:type="dxa"/>
            <w:tcBorders>
              <w:top w:val="single" w:sz="12" w:space="0" w:color="auto"/>
              <w:left w:val="dotted" w:sz="4" w:space="0" w:color="auto"/>
              <w:bottom w:val="nil"/>
              <w:right w:val="dotted" w:sz="4" w:space="0" w:color="auto"/>
            </w:tcBorders>
            <w:shd w:val="clear" w:color="auto" w:fill="CAEDFB" w:themeFill="accent4" w:themeFillTint="33"/>
          </w:tcPr>
          <w:p w14:paraId="21B62C15" w14:textId="77777777" w:rsidR="008130CE" w:rsidRDefault="008130CE">
            <w:pPr>
              <w:spacing w:line="240" w:lineRule="exact"/>
              <w:rPr>
                <w:rFonts w:ascii="Nirmala UI Semilight" w:hAnsi="Nirmala UI Semilight" w:cs="Nirmala UI Semilight"/>
              </w:rPr>
            </w:pPr>
            <w:r w:rsidRPr="000F1D8E">
              <w:rPr>
                <w:rFonts w:ascii="Nirmala UI Semilight" w:hAnsi="Nirmala UI Semilight" w:cs="Nirmala UI Semilight"/>
              </w:rPr>
              <w:t>PNM</w:t>
            </w:r>
          </w:p>
        </w:tc>
        <w:tc>
          <w:tcPr>
            <w:tcW w:w="1261" w:type="dxa"/>
            <w:vMerge w:val="restart"/>
            <w:tcBorders>
              <w:top w:val="single" w:sz="12" w:space="0" w:color="auto"/>
              <w:left w:val="dotted" w:sz="4" w:space="0" w:color="auto"/>
            </w:tcBorders>
            <w:shd w:val="clear" w:color="auto" w:fill="CAEDFB" w:themeFill="accent4" w:themeFillTint="33"/>
            <w:vAlign w:val="center"/>
          </w:tcPr>
          <w:p w14:paraId="64C5F88B" w14:textId="77777777" w:rsidR="008130CE" w:rsidRPr="00734F03" w:rsidRDefault="008130CE">
            <w:pPr>
              <w:spacing w:line="240" w:lineRule="exact"/>
              <w:jc w:val="center"/>
              <w:rPr>
                <w:rFonts w:ascii="Nirmala UI Semilight" w:hAnsi="Nirmala UI Semilight" w:cs="Nirmala UI Semilight"/>
                <w:b/>
                <w:bCs/>
              </w:rPr>
            </w:pPr>
            <w:r w:rsidRPr="00734F03">
              <w:rPr>
                <w:rFonts w:ascii="Nirmala UI Semilight" w:hAnsi="Nirmala UI Semilight" w:cs="Nirmala UI Semilight"/>
                <w:b/>
                <w:bCs/>
              </w:rPr>
              <w:t>Bottom Half</w:t>
            </w:r>
          </w:p>
        </w:tc>
      </w:tr>
      <w:tr w:rsidR="008130CE" w14:paraId="3B675E1F" w14:textId="77777777">
        <w:tc>
          <w:tcPr>
            <w:tcW w:w="810" w:type="dxa"/>
            <w:tcBorders>
              <w:top w:val="nil"/>
              <w:bottom w:val="nil"/>
              <w:right w:val="dotted" w:sz="4" w:space="0" w:color="auto"/>
            </w:tcBorders>
            <w:shd w:val="clear" w:color="auto" w:fill="CAEDFB" w:themeFill="accent4" w:themeFillTint="33"/>
          </w:tcPr>
          <w:p w14:paraId="49BC745B" w14:textId="77777777" w:rsidR="008130CE" w:rsidRDefault="008130CE">
            <w:pPr>
              <w:spacing w:line="240" w:lineRule="exact"/>
              <w:rPr>
                <w:rFonts w:ascii="Nirmala UI Semilight" w:hAnsi="Nirmala UI Semilight" w:cs="Nirmala UI Semilight"/>
              </w:rPr>
            </w:pPr>
            <w:r>
              <w:rPr>
                <w:rFonts w:ascii="Nirmala UI Semilight" w:hAnsi="Nirmala UI Semilight" w:cs="Nirmala UI Semilight"/>
              </w:rPr>
              <w:t>11</w:t>
            </w:r>
          </w:p>
        </w:tc>
        <w:tc>
          <w:tcPr>
            <w:tcW w:w="1620" w:type="dxa"/>
            <w:tcBorders>
              <w:top w:val="nil"/>
              <w:bottom w:val="nil"/>
              <w:right w:val="dotted" w:sz="4" w:space="0" w:color="auto"/>
            </w:tcBorders>
            <w:shd w:val="clear" w:color="auto" w:fill="CAEDFB" w:themeFill="accent4" w:themeFillTint="33"/>
          </w:tcPr>
          <w:p w14:paraId="5DC8AD09" w14:textId="77777777" w:rsidR="008130CE" w:rsidRDefault="008130CE">
            <w:pPr>
              <w:spacing w:line="240" w:lineRule="exact"/>
              <w:rPr>
                <w:rFonts w:ascii="Nirmala UI Semilight" w:hAnsi="Nirmala UI Semilight" w:cs="Nirmala UI Semilight"/>
              </w:rPr>
            </w:pPr>
            <w:r>
              <w:rPr>
                <w:rFonts w:ascii="Nirmala UI Semilight" w:hAnsi="Nirmala UI Semilight" w:cs="Nirmala UI Semilight"/>
              </w:rPr>
              <w:t>2024-</w:t>
            </w:r>
            <w:r w:rsidRPr="00E73BEB">
              <w:rPr>
                <w:rFonts w:ascii="Nirmala UI Semilight" w:hAnsi="Nirmala UI Semilight" w:cs="Nirmala UI Semilight"/>
              </w:rPr>
              <w:t>CRF-25</w:t>
            </w:r>
          </w:p>
        </w:tc>
        <w:tc>
          <w:tcPr>
            <w:tcW w:w="4140" w:type="dxa"/>
            <w:tcBorders>
              <w:top w:val="nil"/>
              <w:left w:val="dotted" w:sz="4" w:space="0" w:color="auto"/>
              <w:bottom w:val="nil"/>
              <w:right w:val="dotted" w:sz="4" w:space="0" w:color="auto"/>
            </w:tcBorders>
            <w:shd w:val="clear" w:color="auto" w:fill="CAEDFB" w:themeFill="accent4" w:themeFillTint="33"/>
          </w:tcPr>
          <w:p w14:paraId="76A31446" w14:textId="77777777" w:rsidR="008130CE" w:rsidRPr="00310E77" w:rsidRDefault="008130CE">
            <w:pPr>
              <w:spacing w:line="240" w:lineRule="exact"/>
              <w:rPr>
                <w:rFonts w:ascii="Nirmala UI Semilight" w:hAnsi="Nirmala UI Semilight" w:cs="Nirmala UI Semilight"/>
              </w:rPr>
            </w:pPr>
            <w:r w:rsidRPr="00310E77">
              <w:rPr>
                <w:rFonts w:ascii="Nirmala UI Semilight" w:hAnsi="Nirmala UI Semilight" w:cs="Nirmala UI Semilight"/>
              </w:rPr>
              <w:t>Qualifying Contract Options &amp; Reviews</w:t>
            </w:r>
          </w:p>
        </w:tc>
        <w:tc>
          <w:tcPr>
            <w:tcW w:w="810" w:type="dxa"/>
            <w:tcBorders>
              <w:top w:val="nil"/>
              <w:left w:val="dotted" w:sz="4" w:space="0" w:color="auto"/>
              <w:bottom w:val="nil"/>
              <w:right w:val="dotted" w:sz="4" w:space="0" w:color="auto"/>
            </w:tcBorders>
            <w:shd w:val="clear" w:color="auto" w:fill="CAEDFB" w:themeFill="accent4" w:themeFillTint="33"/>
          </w:tcPr>
          <w:p w14:paraId="694DB1BF" w14:textId="77777777" w:rsidR="008130CE" w:rsidRDefault="008130CE">
            <w:pPr>
              <w:spacing w:line="240" w:lineRule="exact"/>
              <w:rPr>
                <w:rFonts w:ascii="Nirmala UI Semilight" w:hAnsi="Nirmala UI Semilight" w:cs="Nirmala UI Semilight"/>
              </w:rPr>
            </w:pPr>
            <w:r w:rsidRPr="000F1D8E">
              <w:rPr>
                <w:rFonts w:ascii="Nirmala UI Semilight" w:hAnsi="Nirmala UI Semilight" w:cs="Nirmala UI Semilight"/>
              </w:rPr>
              <w:t>IPC</w:t>
            </w:r>
          </w:p>
        </w:tc>
        <w:tc>
          <w:tcPr>
            <w:tcW w:w="1261" w:type="dxa"/>
            <w:vMerge/>
            <w:tcBorders>
              <w:left w:val="dotted" w:sz="4" w:space="0" w:color="auto"/>
            </w:tcBorders>
            <w:shd w:val="clear" w:color="auto" w:fill="CAEDFB" w:themeFill="accent4" w:themeFillTint="33"/>
          </w:tcPr>
          <w:p w14:paraId="64A8D103" w14:textId="77777777" w:rsidR="008130CE" w:rsidRDefault="008130CE">
            <w:pPr>
              <w:spacing w:line="240" w:lineRule="exact"/>
              <w:rPr>
                <w:rFonts w:ascii="Nirmala UI Semilight" w:hAnsi="Nirmala UI Semilight" w:cs="Nirmala UI Semilight"/>
              </w:rPr>
            </w:pPr>
          </w:p>
        </w:tc>
      </w:tr>
      <w:tr w:rsidR="008130CE" w14:paraId="50C59B17" w14:textId="77777777">
        <w:tc>
          <w:tcPr>
            <w:tcW w:w="810" w:type="dxa"/>
            <w:tcBorders>
              <w:top w:val="nil"/>
              <w:bottom w:val="nil"/>
              <w:right w:val="dotted" w:sz="4" w:space="0" w:color="auto"/>
            </w:tcBorders>
            <w:shd w:val="clear" w:color="auto" w:fill="CAEDFB" w:themeFill="accent4" w:themeFillTint="33"/>
          </w:tcPr>
          <w:p w14:paraId="079292AC" w14:textId="77777777" w:rsidR="008130CE" w:rsidRDefault="008130CE">
            <w:pPr>
              <w:spacing w:line="240" w:lineRule="exact"/>
              <w:rPr>
                <w:rFonts w:ascii="Nirmala UI Semilight" w:hAnsi="Nirmala UI Semilight" w:cs="Nirmala UI Semilight"/>
              </w:rPr>
            </w:pPr>
            <w:r>
              <w:rPr>
                <w:rFonts w:ascii="Nirmala UI Semilight" w:hAnsi="Nirmala UI Semilight" w:cs="Nirmala UI Semilight"/>
              </w:rPr>
              <w:t>12</w:t>
            </w:r>
          </w:p>
        </w:tc>
        <w:tc>
          <w:tcPr>
            <w:tcW w:w="1620" w:type="dxa"/>
            <w:tcBorders>
              <w:top w:val="nil"/>
              <w:bottom w:val="nil"/>
              <w:right w:val="dotted" w:sz="4" w:space="0" w:color="auto"/>
            </w:tcBorders>
            <w:shd w:val="clear" w:color="auto" w:fill="CAEDFB" w:themeFill="accent4" w:themeFillTint="33"/>
          </w:tcPr>
          <w:p w14:paraId="1D1187EF" w14:textId="77777777" w:rsidR="008130CE" w:rsidRDefault="008130CE">
            <w:pPr>
              <w:spacing w:line="240" w:lineRule="exact"/>
              <w:rPr>
                <w:rFonts w:ascii="Nirmala UI Semilight" w:hAnsi="Nirmala UI Semilight" w:cs="Nirmala UI Semilight"/>
              </w:rPr>
            </w:pPr>
            <w:r>
              <w:rPr>
                <w:rFonts w:ascii="Nirmala UI Semilight" w:hAnsi="Nirmala UI Semilight" w:cs="Nirmala UI Semilight"/>
              </w:rPr>
              <w:t>2024-</w:t>
            </w:r>
            <w:r w:rsidRPr="00E73BEB">
              <w:rPr>
                <w:rFonts w:ascii="Nirmala UI Semilight" w:hAnsi="Nirmala UI Semilight" w:cs="Nirmala UI Semilight"/>
              </w:rPr>
              <w:t>CRF-19</w:t>
            </w:r>
            <w:r>
              <w:rPr>
                <w:rFonts w:ascii="Nirmala UI Semilight" w:hAnsi="Nirmala UI Semilight" w:cs="Nirmala UI Semilight"/>
              </w:rPr>
              <w:t xml:space="preserve">  </w:t>
            </w:r>
          </w:p>
        </w:tc>
        <w:tc>
          <w:tcPr>
            <w:tcW w:w="4140" w:type="dxa"/>
            <w:tcBorders>
              <w:top w:val="nil"/>
              <w:left w:val="dotted" w:sz="4" w:space="0" w:color="auto"/>
              <w:bottom w:val="nil"/>
              <w:right w:val="dotted" w:sz="4" w:space="0" w:color="auto"/>
            </w:tcBorders>
            <w:shd w:val="clear" w:color="auto" w:fill="CAEDFB" w:themeFill="accent4" w:themeFillTint="33"/>
          </w:tcPr>
          <w:p w14:paraId="44989F2F" w14:textId="77777777" w:rsidR="008130CE" w:rsidRPr="00310E77" w:rsidRDefault="008130CE">
            <w:pPr>
              <w:spacing w:line="240" w:lineRule="exact"/>
              <w:rPr>
                <w:rFonts w:ascii="Nirmala UI Semilight" w:hAnsi="Nirmala UI Semilight" w:cs="Nirmala UI Semilight"/>
              </w:rPr>
            </w:pPr>
            <w:r w:rsidRPr="00310E77">
              <w:rPr>
                <w:rFonts w:ascii="Nirmala UI Semilight" w:hAnsi="Nirmala UI Semilight" w:cs="Nirmala UI Semilight"/>
              </w:rPr>
              <w:t>Resource Aggregation</w:t>
            </w:r>
          </w:p>
        </w:tc>
        <w:tc>
          <w:tcPr>
            <w:tcW w:w="810" w:type="dxa"/>
            <w:tcBorders>
              <w:top w:val="nil"/>
              <w:left w:val="dotted" w:sz="4" w:space="0" w:color="auto"/>
              <w:bottom w:val="nil"/>
              <w:right w:val="dotted" w:sz="4" w:space="0" w:color="auto"/>
            </w:tcBorders>
            <w:shd w:val="clear" w:color="auto" w:fill="CAEDFB" w:themeFill="accent4" w:themeFillTint="33"/>
          </w:tcPr>
          <w:p w14:paraId="2E1FB33B" w14:textId="77777777" w:rsidR="008130CE" w:rsidRDefault="008130CE">
            <w:pPr>
              <w:spacing w:line="240" w:lineRule="exact"/>
              <w:rPr>
                <w:rFonts w:ascii="Nirmala UI Semilight" w:hAnsi="Nirmala UI Semilight" w:cs="Nirmala UI Semilight"/>
              </w:rPr>
            </w:pPr>
            <w:r w:rsidRPr="000F1D8E">
              <w:rPr>
                <w:rFonts w:ascii="Nirmala UI Semilight" w:hAnsi="Nirmala UI Semilight" w:cs="Nirmala UI Semilight"/>
              </w:rPr>
              <w:t>IPC</w:t>
            </w:r>
          </w:p>
        </w:tc>
        <w:tc>
          <w:tcPr>
            <w:tcW w:w="1261" w:type="dxa"/>
            <w:vMerge/>
            <w:tcBorders>
              <w:left w:val="dotted" w:sz="4" w:space="0" w:color="auto"/>
            </w:tcBorders>
            <w:shd w:val="clear" w:color="auto" w:fill="CAEDFB" w:themeFill="accent4" w:themeFillTint="33"/>
          </w:tcPr>
          <w:p w14:paraId="112B9A28" w14:textId="77777777" w:rsidR="008130CE" w:rsidRDefault="008130CE">
            <w:pPr>
              <w:spacing w:line="240" w:lineRule="exact"/>
              <w:rPr>
                <w:rFonts w:ascii="Nirmala UI Semilight" w:hAnsi="Nirmala UI Semilight" w:cs="Nirmala UI Semilight"/>
              </w:rPr>
            </w:pPr>
          </w:p>
        </w:tc>
      </w:tr>
      <w:tr w:rsidR="008130CE" w14:paraId="3AC65A10" w14:textId="77777777">
        <w:tc>
          <w:tcPr>
            <w:tcW w:w="810" w:type="dxa"/>
            <w:tcBorders>
              <w:top w:val="nil"/>
              <w:bottom w:val="nil"/>
              <w:right w:val="dotted" w:sz="4" w:space="0" w:color="auto"/>
            </w:tcBorders>
            <w:shd w:val="clear" w:color="auto" w:fill="CAEDFB" w:themeFill="accent4" w:themeFillTint="33"/>
          </w:tcPr>
          <w:p w14:paraId="47DBA1CA" w14:textId="77777777" w:rsidR="008130CE" w:rsidRDefault="008130CE">
            <w:pPr>
              <w:spacing w:line="240" w:lineRule="exact"/>
              <w:rPr>
                <w:rFonts w:ascii="Nirmala UI Semilight" w:hAnsi="Nirmala UI Semilight" w:cs="Nirmala UI Semilight"/>
              </w:rPr>
            </w:pPr>
            <w:r>
              <w:rPr>
                <w:rFonts w:ascii="Nirmala UI Semilight" w:hAnsi="Nirmala UI Semilight" w:cs="Nirmala UI Semilight"/>
              </w:rPr>
              <w:t>13</w:t>
            </w:r>
          </w:p>
        </w:tc>
        <w:tc>
          <w:tcPr>
            <w:tcW w:w="1620" w:type="dxa"/>
            <w:tcBorders>
              <w:top w:val="nil"/>
              <w:bottom w:val="nil"/>
              <w:right w:val="dotted" w:sz="4" w:space="0" w:color="auto"/>
            </w:tcBorders>
            <w:shd w:val="clear" w:color="auto" w:fill="CAEDFB" w:themeFill="accent4" w:themeFillTint="33"/>
          </w:tcPr>
          <w:p w14:paraId="4FDA9374" w14:textId="77777777" w:rsidR="008130CE" w:rsidRDefault="008130CE">
            <w:pPr>
              <w:spacing w:line="240" w:lineRule="exact"/>
              <w:rPr>
                <w:rFonts w:ascii="Nirmala UI Semilight" w:hAnsi="Nirmala UI Semilight" w:cs="Nirmala UI Semilight"/>
              </w:rPr>
            </w:pPr>
            <w:r>
              <w:rPr>
                <w:rFonts w:ascii="Nirmala UI Semilight" w:hAnsi="Nirmala UI Semilight" w:cs="Nirmala UI Semilight"/>
              </w:rPr>
              <w:t>2024-</w:t>
            </w:r>
            <w:r w:rsidRPr="00E73BEB">
              <w:rPr>
                <w:rFonts w:ascii="Nirmala UI Semilight" w:hAnsi="Nirmala UI Semilight" w:cs="Nirmala UI Semilight"/>
              </w:rPr>
              <w:t>CRF-18</w:t>
            </w:r>
          </w:p>
        </w:tc>
        <w:tc>
          <w:tcPr>
            <w:tcW w:w="4140" w:type="dxa"/>
            <w:tcBorders>
              <w:top w:val="nil"/>
              <w:left w:val="dotted" w:sz="4" w:space="0" w:color="auto"/>
              <w:bottom w:val="nil"/>
              <w:right w:val="dotted" w:sz="4" w:space="0" w:color="auto"/>
            </w:tcBorders>
            <w:shd w:val="clear" w:color="auto" w:fill="CAEDFB" w:themeFill="accent4" w:themeFillTint="33"/>
          </w:tcPr>
          <w:p w14:paraId="0F57B783" w14:textId="77777777" w:rsidR="008130CE" w:rsidRPr="00310E77" w:rsidRDefault="008130CE">
            <w:pPr>
              <w:spacing w:line="240" w:lineRule="exact"/>
              <w:rPr>
                <w:rFonts w:ascii="Nirmala UI Semilight" w:hAnsi="Nirmala UI Semilight" w:cs="Nirmala UI Semilight"/>
              </w:rPr>
            </w:pPr>
            <w:r w:rsidRPr="00310E77">
              <w:rPr>
                <w:rFonts w:ascii="Nirmala UI Semilight" w:hAnsi="Nirmala UI Semilight" w:cs="Nirmala UI Semilight"/>
              </w:rPr>
              <w:t>PRM Out of TX Requirement</w:t>
            </w:r>
          </w:p>
        </w:tc>
        <w:tc>
          <w:tcPr>
            <w:tcW w:w="810" w:type="dxa"/>
            <w:tcBorders>
              <w:top w:val="nil"/>
              <w:left w:val="dotted" w:sz="4" w:space="0" w:color="auto"/>
              <w:bottom w:val="nil"/>
              <w:right w:val="dotted" w:sz="4" w:space="0" w:color="auto"/>
            </w:tcBorders>
            <w:shd w:val="clear" w:color="auto" w:fill="CAEDFB" w:themeFill="accent4" w:themeFillTint="33"/>
          </w:tcPr>
          <w:p w14:paraId="3327E56C" w14:textId="77777777" w:rsidR="008130CE" w:rsidRDefault="008130CE">
            <w:pPr>
              <w:spacing w:line="240" w:lineRule="exact"/>
              <w:rPr>
                <w:rFonts w:ascii="Nirmala UI Semilight" w:hAnsi="Nirmala UI Semilight" w:cs="Nirmala UI Semilight"/>
              </w:rPr>
            </w:pPr>
            <w:r w:rsidRPr="000F1D8E">
              <w:rPr>
                <w:rFonts w:ascii="Nirmala UI Semilight" w:hAnsi="Nirmala UI Semilight" w:cs="Nirmala UI Semilight"/>
              </w:rPr>
              <w:t>BPA</w:t>
            </w:r>
          </w:p>
        </w:tc>
        <w:tc>
          <w:tcPr>
            <w:tcW w:w="1261" w:type="dxa"/>
            <w:vMerge/>
            <w:tcBorders>
              <w:left w:val="dotted" w:sz="4" w:space="0" w:color="auto"/>
            </w:tcBorders>
            <w:shd w:val="clear" w:color="auto" w:fill="CAEDFB" w:themeFill="accent4" w:themeFillTint="33"/>
          </w:tcPr>
          <w:p w14:paraId="1C9928FE" w14:textId="77777777" w:rsidR="008130CE" w:rsidRDefault="008130CE">
            <w:pPr>
              <w:spacing w:line="240" w:lineRule="exact"/>
              <w:rPr>
                <w:rFonts w:ascii="Nirmala UI Semilight" w:hAnsi="Nirmala UI Semilight" w:cs="Nirmala UI Semilight"/>
              </w:rPr>
            </w:pPr>
          </w:p>
        </w:tc>
      </w:tr>
      <w:tr w:rsidR="008130CE" w14:paraId="243E3564" w14:textId="77777777">
        <w:tc>
          <w:tcPr>
            <w:tcW w:w="810" w:type="dxa"/>
            <w:tcBorders>
              <w:top w:val="nil"/>
              <w:bottom w:val="nil"/>
              <w:right w:val="dotted" w:sz="4" w:space="0" w:color="auto"/>
            </w:tcBorders>
            <w:shd w:val="clear" w:color="auto" w:fill="CAEDFB" w:themeFill="accent4" w:themeFillTint="33"/>
          </w:tcPr>
          <w:p w14:paraId="6679DDB8" w14:textId="77777777" w:rsidR="008130CE" w:rsidRDefault="008130CE">
            <w:pPr>
              <w:spacing w:line="240" w:lineRule="exact"/>
              <w:rPr>
                <w:rFonts w:ascii="Nirmala UI Semilight" w:hAnsi="Nirmala UI Semilight" w:cs="Nirmala UI Semilight"/>
              </w:rPr>
            </w:pPr>
            <w:r>
              <w:rPr>
                <w:rFonts w:ascii="Nirmala UI Semilight" w:hAnsi="Nirmala UI Semilight" w:cs="Nirmala UI Semilight"/>
              </w:rPr>
              <w:t>14</w:t>
            </w:r>
          </w:p>
        </w:tc>
        <w:tc>
          <w:tcPr>
            <w:tcW w:w="1620" w:type="dxa"/>
            <w:tcBorders>
              <w:top w:val="nil"/>
              <w:bottom w:val="nil"/>
              <w:right w:val="dotted" w:sz="4" w:space="0" w:color="auto"/>
            </w:tcBorders>
            <w:shd w:val="clear" w:color="auto" w:fill="CAEDFB" w:themeFill="accent4" w:themeFillTint="33"/>
          </w:tcPr>
          <w:p w14:paraId="6C3BC7BD" w14:textId="77777777" w:rsidR="008130CE" w:rsidRDefault="008130CE">
            <w:pPr>
              <w:spacing w:line="240" w:lineRule="exact"/>
              <w:rPr>
                <w:rFonts w:ascii="Nirmala UI Semilight" w:hAnsi="Nirmala UI Semilight" w:cs="Nirmala UI Semilight"/>
              </w:rPr>
            </w:pPr>
            <w:r>
              <w:rPr>
                <w:rFonts w:ascii="Nirmala UI Semilight" w:hAnsi="Nirmala UI Semilight" w:cs="Nirmala UI Semilight"/>
              </w:rPr>
              <w:t>2024-</w:t>
            </w:r>
            <w:r w:rsidRPr="00E73BEB">
              <w:rPr>
                <w:rFonts w:ascii="Nirmala UI Semilight" w:hAnsi="Nirmala UI Semilight" w:cs="Nirmala UI Semilight"/>
              </w:rPr>
              <w:t>CRF-27</w:t>
            </w:r>
          </w:p>
        </w:tc>
        <w:tc>
          <w:tcPr>
            <w:tcW w:w="4140" w:type="dxa"/>
            <w:tcBorders>
              <w:top w:val="nil"/>
              <w:left w:val="dotted" w:sz="4" w:space="0" w:color="auto"/>
              <w:bottom w:val="nil"/>
              <w:right w:val="dotted" w:sz="4" w:space="0" w:color="auto"/>
            </w:tcBorders>
            <w:shd w:val="clear" w:color="auto" w:fill="CAEDFB" w:themeFill="accent4" w:themeFillTint="33"/>
          </w:tcPr>
          <w:p w14:paraId="4C6A8D14" w14:textId="77777777" w:rsidR="008130CE" w:rsidRPr="00310E77" w:rsidRDefault="008130CE">
            <w:pPr>
              <w:spacing w:line="240" w:lineRule="exact"/>
              <w:rPr>
                <w:rFonts w:ascii="Nirmala UI Semilight" w:hAnsi="Nirmala UI Semilight" w:cs="Nirmala UI Semilight"/>
              </w:rPr>
            </w:pPr>
            <w:r w:rsidRPr="00310E77">
              <w:rPr>
                <w:rFonts w:ascii="Nirmala UI Semilight" w:hAnsi="Nirmala UI Semilight" w:cs="Nirmala UI Semilight"/>
              </w:rPr>
              <w:t>Load Responsibility Transfer</w:t>
            </w:r>
          </w:p>
        </w:tc>
        <w:tc>
          <w:tcPr>
            <w:tcW w:w="810" w:type="dxa"/>
            <w:tcBorders>
              <w:top w:val="nil"/>
              <w:left w:val="dotted" w:sz="4" w:space="0" w:color="auto"/>
              <w:bottom w:val="nil"/>
              <w:right w:val="dotted" w:sz="4" w:space="0" w:color="auto"/>
            </w:tcBorders>
            <w:shd w:val="clear" w:color="auto" w:fill="CAEDFB" w:themeFill="accent4" w:themeFillTint="33"/>
          </w:tcPr>
          <w:p w14:paraId="2EB31601" w14:textId="77777777" w:rsidR="008130CE" w:rsidRDefault="008130CE">
            <w:pPr>
              <w:spacing w:line="240" w:lineRule="exact"/>
              <w:rPr>
                <w:rFonts w:ascii="Nirmala UI Semilight" w:hAnsi="Nirmala UI Semilight" w:cs="Nirmala UI Semilight"/>
              </w:rPr>
            </w:pPr>
            <w:r w:rsidRPr="000F1D8E">
              <w:rPr>
                <w:rFonts w:ascii="Nirmala UI Semilight" w:hAnsi="Nirmala UI Semilight" w:cs="Nirmala UI Semilight"/>
              </w:rPr>
              <w:t>BPA</w:t>
            </w:r>
          </w:p>
        </w:tc>
        <w:tc>
          <w:tcPr>
            <w:tcW w:w="1261" w:type="dxa"/>
            <w:vMerge/>
            <w:tcBorders>
              <w:left w:val="dotted" w:sz="4" w:space="0" w:color="auto"/>
            </w:tcBorders>
            <w:shd w:val="clear" w:color="auto" w:fill="CAEDFB" w:themeFill="accent4" w:themeFillTint="33"/>
          </w:tcPr>
          <w:p w14:paraId="275FE0C2" w14:textId="77777777" w:rsidR="008130CE" w:rsidRDefault="008130CE">
            <w:pPr>
              <w:spacing w:line="240" w:lineRule="exact"/>
              <w:rPr>
                <w:rFonts w:ascii="Nirmala UI Semilight" w:hAnsi="Nirmala UI Semilight" w:cs="Nirmala UI Semilight"/>
              </w:rPr>
            </w:pPr>
          </w:p>
        </w:tc>
      </w:tr>
      <w:tr w:rsidR="008130CE" w14:paraId="3D902FED" w14:textId="77777777">
        <w:tc>
          <w:tcPr>
            <w:tcW w:w="810" w:type="dxa"/>
            <w:tcBorders>
              <w:top w:val="nil"/>
              <w:bottom w:val="nil"/>
              <w:right w:val="dotted" w:sz="4" w:space="0" w:color="auto"/>
            </w:tcBorders>
            <w:shd w:val="clear" w:color="auto" w:fill="CAEDFB" w:themeFill="accent4" w:themeFillTint="33"/>
          </w:tcPr>
          <w:p w14:paraId="0192F8AD" w14:textId="77777777" w:rsidR="008130CE" w:rsidRDefault="008130CE">
            <w:pPr>
              <w:spacing w:line="240" w:lineRule="exact"/>
              <w:rPr>
                <w:rFonts w:ascii="Nirmala UI Semilight" w:hAnsi="Nirmala UI Semilight" w:cs="Nirmala UI Semilight"/>
              </w:rPr>
            </w:pPr>
            <w:r>
              <w:rPr>
                <w:rFonts w:ascii="Nirmala UI Semilight" w:hAnsi="Nirmala UI Semilight" w:cs="Nirmala UI Semilight"/>
              </w:rPr>
              <w:t>15</w:t>
            </w:r>
          </w:p>
        </w:tc>
        <w:tc>
          <w:tcPr>
            <w:tcW w:w="1620" w:type="dxa"/>
            <w:tcBorders>
              <w:top w:val="nil"/>
              <w:bottom w:val="nil"/>
              <w:right w:val="dotted" w:sz="4" w:space="0" w:color="auto"/>
            </w:tcBorders>
            <w:shd w:val="clear" w:color="auto" w:fill="CAEDFB" w:themeFill="accent4" w:themeFillTint="33"/>
          </w:tcPr>
          <w:p w14:paraId="7E5AB2ED" w14:textId="77777777" w:rsidR="008130CE" w:rsidRDefault="008130CE">
            <w:pPr>
              <w:spacing w:line="240" w:lineRule="exact"/>
              <w:rPr>
                <w:rFonts w:ascii="Nirmala UI Semilight" w:hAnsi="Nirmala UI Semilight" w:cs="Nirmala UI Semilight"/>
              </w:rPr>
            </w:pPr>
            <w:r>
              <w:rPr>
                <w:rFonts w:ascii="Nirmala UI Semilight" w:hAnsi="Nirmala UI Semilight" w:cs="Nirmala UI Semilight"/>
              </w:rPr>
              <w:t>2024-</w:t>
            </w:r>
            <w:r w:rsidRPr="00E73BEB">
              <w:rPr>
                <w:rFonts w:ascii="Nirmala UI Semilight" w:hAnsi="Nirmala UI Semilight" w:cs="Nirmala UI Semilight"/>
              </w:rPr>
              <w:t>CRF-20</w:t>
            </w:r>
          </w:p>
        </w:tc>
        <w:tc>
          <w:tcPr>
            <w:tcW w:w="4140" w:type="dxa"/>
            <w:tcBorders>
              <w:top w:val="nil"/>
              <w:left w:val="dotted" w:sz="4" w:space="0" w:color="auto"/>
              <w:bottom w:val="nil"/>
              <w:right w:val="dotted" w:sz="4" w:space="0" w:color="auto"/>
            </w:tcBorders>
            <w:shd w:val="clear" w:color="auto" w:fill="CAEDFB" w:themeFill="accent4" w:themeFillTint="33"/>
          </w:tcPr>
          <w:p w14:paraId="788F2322" w14:textId="77777777" w:rsidR="008130CE" w:rsidRPr="00310E77" w:rsidRDefault="008130CE">
            <w:pPr>
              <w:spacing w:line="240" w:lineRule="exact"/>
              <w:rPr>
                <w:rFonts w:ascii="Nirmala UI Semilight" w:hAnsi="Nirmala UI Semilight" w:cs="Nirmala UI Semilight"/>
              </w:rPr>
            </w:pPr>
            <w:r w:rsidRPr="00310E77">
              <w:rPr>
                <w:rFonts w:ascii="Nirmala UI Semilight" w:hAnsi="Nirmala UI Semilight" w:cs="Nirmala UI Semilight"/>
              </w:rPr>
              <w:t>FS Waiver</w:t>
            </w:r>
          </w:p>
        </w:tc>
        <w:tc>
          <w:tcPr>
            <w:tcW w:w="810" w:type="dxa"/>
            <w:tcBorders>
              <w:top w:val="nil"/>
              <w:left w:val="dotted" w:sz="4" w:space="0" w:color="auto"/>
              <w:bottom w:val="nil"/>
              <w:right w:val="dotted" w:sz="4" w:space="0" w:color="auto"/>
            </w:tcBorders>
            <w:shd w:val="clear" w:color="auto" w:fill="CAEDFB" w:themeFill="accent4" w:themeFillTint="33"/>
          </w:tcPr>
          <w:p w14:paraId="2643D074" w14:textId="77777777" w:rsidR="008130CE" w:rsidRDefault="008130CE">
            <w:pPr>
              <w:spacing w:line="240" w:lineRule="exact"/>
              <w:rPr>
                <w:rFonts w:ascii="Nirmala UI Semilight" w:hAnsi="Nirmala UI Semilight" w:cs="Nirmala UI Semilight"/>
              </w:rPr>
            </w:pPr>
            <w:r w:rsidRPr="000F1D8E">
              <w:rPr>
                <w:rFonts w:ascii="Nirmala UI Semilight" w:hAnsi="Nirmala UI Semilight" w:cs="Nirmala UI Semilight"/>
              </w:rPr>
              <w:t>BPA</w:t>
            </w:r>
          </w:p>
        </w:tc>
        <w:tc>
          <w:tcPr>
            <w:tcW w:w="1261" w:type="dxa"/>
            <w:vMerge/>
            <w:tcBorders>
              <w:left w:val="dotted" w:sz="4" w:space="0" w:color="auto"/>
            </w:tcBorders>
            <w:shd w:val="clear" w:color="auto" w:fill="CAEDFB" w:themeFill="accent4" w:themeFillTint="33"/>
          </w:tcPr>
          <w:p w14:paraId="12A0CAC9" w14:textId="77777777" w:rsidR="008130CE" w:rsidRDefault="008130CE">
            <w:pPr>
              <w:spacing w:line="240" w:lineRule="exact"/>
              <w:rPr>
                <w:rFonts w:ascii="Nirmala UI Semilight" w:hAnsi="Nirmala UI Semilight" w:cs="Nirmala UI Semilight"/>
              </w:rPr>
            </w:pPr>
          </w:p>
        </w:tc>
      </w:tr>
      <w:tr w:rsidR="008130CE" w14:paraId="030B0787" w14:textId="77777777">
        <w:tc>
          <w:tcPr>
            <w:tcW w:w="810" w:type="dxa"/>
            <w:tcBorders>
              <w:top w:val="nil"/>
              <w:bottom w:val="nil"/>
              <w:right w:val="dotted" w:sz="4" w:space="0" w:color="auto"/>
            </w:tcBorders>
            <w:shd w:val="clear" w:color="auto" w:fill="CAEDFB" w:themeFill="accent4" w:themeFillTint="33"/>
          </w:tcPr>
          <w:p w14:paraId="5F8B65B2" w14:textId="77777777" w:rsidR="008130CE" w:rsidRDefault="008130CE">
            <w:pPr>
              <w:spacing w:line="240" w:lineRule="exact"/>
              <w:rPr>
                <w:rFonts w:ascii="Nirmala UI Semilight" w:hAnsi="Nirmala UI Semilight" w:cs="Nirmala UI Semilight"/>
              </w:rPr>
            </w:pPr>
            <w:r>
              <w:rPr>
                <w:rFonts w:ascii="Nirmala UI Semilight" w:hAnsi="Nirmala UI Semilight" w:cs="Nirmala UI Semilight"/>
              </w:rPr>
              <w:t>16</w:t>
            </w:r>
          </w:p>
        </w:tc>
        <w:tc>
          <w:tcPr>
            <w:tcW w:w="1620" w:type="dxa"/>
            <w:tcBorders>
              <w:top w:val="nil"/>
              <w:bottom w:val="nil"/>
              <w:right w:val="dotted" w:sz="4" w:space="0" w:color="auto"/>
            </w:tcBorders>
            <w:shd w:val="clear" w:color="auto" w:fill="CAEDFB" w:themeFill="accent4" w:themeFillTint="33"/>
          </w:tcPr>
          <w:p w14:paraId="01C94C43" w14:textId="77777777" w:rsidR="008130CE" w:rsidRDefault="008130CE">
            <w:pPr>
              <w:spacing w:line="240" w:lineRule="exact"/>
              <w:rPr>
                <w:rFonts w:ascii="Nirmala UI Semilight" w:hAnsi="Nirmala UI Semilight" w:cs="Nirmala UI Semilight"/>
              </w:rPr>
            </w:pPr>
            <w:r>
              <w:rPr>
                <w:rFonts w:ascii="Nirmala UI Semilight" w:hAnsi="Nirmala UI Semilight" w:cs="Nirmala UI Semilight"/>
              </w:rPr>
              <w:t>2024-CRF-31</w:t>
            </w:r>
          </w:p>
        </w:tc>
        <w:tc>
          <w:tcPr>
            <w:tcW w:w="4140" w:type="dxa"/>
            <w:tcBorders>
              <w:top w:val="nil"/>
              <w:left w:val="dotted" w:sz="4" w:space="0" w:color="auto"/>
              <w:bottom w:val="nil"/>
              <w:right w:val="dotted" w:sz="4" w:space="0" w:color="auto"/>
            </w:tcBorders>
            <w:shd w:val="clear" w:color="auto" w:fill="CAEDFB" w:themeFill="accent4" w:themeFillTint="33"/>
          </w:tcPr>
          <w:p w14:paraId="227F5DB7" w14:textId="77777777" w:rsidR="008130CE" w:rsidRPr="00310E77" w:rsidRDefault="008130CE">
            <w:pPr>
              <w:spacing w:line="240" w:lineRule="exact"/>
              <w:rPr>
                <w:rFonts w:ascii="Nirmala UI Semilight" w:hAnsi="Nirmala UI Semilight" w:cs="Nirmala UI Semilight"/>
              </w:rPr>
            </w:pPr>
            <w:r w:rsidRPr="000F1D8E">
              <w:rPr>
                <w:rFonts w:ascii="Nirmala UI Semilight" w:hAnsi="Nirmala UI Semilight" w:cs="Nirmala UI Semilight"/>
              </w:rPr>
              <w:t>Bilateral Contracts</w:t>
            </w:r>
          </w:p>
        </w:tc>
        <w:tc>
          <w:tcPr>
            <w:tcW w:w="810" w:type="dxa"/>
            <w:tcBorders>
              <w:top w:val="nil"/>
              <w:left w:val="dotted" w:sz="4" w:space="0" w:color="auto"/>
              <w:bottom w:val="nil"/>
              <w:right w:val="dotted" w:sz="4" w:space="0" w:color="auto"/>
            </w:tcBorders>
            <w:shd w:val="clear" w:color="auto" w:fill="CAEDFB" w:themeFill="accent4" w:themeFillTint="33"/>
          </w:tcPr>
          <w:p w14:paraId="0B3AF1E1" w14:textId="77777777" w:rsidR="008130CE" w:rsidRDefault="008130CE">
            <w:pPr>
              <w:spacing w:line="240" w:lineRule="exact"/>
              <w:rPr>
                <w:rFonts w:ascii="Nirmala UI Semilight" w:hAnsi="Nirmala UI Semilight" w:cs="Nirmala UI Semilight"/>
              </w:rPr>
            </w:pPr>
            <w:r w:rsidRPr="000F1D8E">
              <w:rPr>
                <w:rFonts w:ascii="Nirmala UI Semilight" w:hAnsi="Nirmala UI Semilight" w:cs="Nirmala UI Semilight"/>
              </w:rPr>
              <w:t>EWEB</w:t>
            </w:r>
          </w:p>
        </w:tc>
        <w:tc>
          <w:tcPr>
            <w:tcW w:w="1261" w:type="dxa"/>
            <w:vMerge/>
            <w:tcBorders>
              <w:left w:val="dotted" w:sz="4" w:space="0" w:color="auto"/>
            </w:tcBorders>
            <w:shd w:val="clear" w:color="auto" w:fill="CAEDFB" w:themeFill="accent4" w:themeFillTint="33"/>
          </w:tcPr>
          <w:p w14:paraId="6F5DF849" w14:textId="77777777" w:rsidR="008130CE" w:rsidRDefault="008130CE">
            <w:pPr>
              <w:spacing w:line="240" w:lineRule="exact"/>
              <w:rPr>
                <w:rFonts w:ascii="Nirmala UI Semilight" w:hAnsi="Nirmala UI Semilight" w:cs="Nirmala UI Semilight"/>
              </w:rPr>
            </w:pPr>
          </w:p>
        </w:tc>
      </w:tr>
      <w:tr w:rsidR="008130CE" w14:paraId="6EB8A125" w14:textId="77777777">
        <w:tc>
          <w:tcPr>
            <w:tcW w:w="810" w:type="dxa"/>
            <w:tcBorders>
              <w:top w:val="nil"/>
              <w:bottom w:val="single" w:sz="4" w:space="0" w:color="auto"/>
              <w:right w:val="dotted" w:sz="4" w:space="0" w:color="auto"/>
            </w:tcBorders>
            <w:shd w:val="clear" w:color="auto" w:fill="CAEDFB" w:themeFill="accent4" w:themeFillTint="33"/>
          </w:tcPr>
          <w:p w14:paraId="592C7506" w14:textId="77777777" w:rsidR="008130CE" w:rsidRDefault="008130CE">
            <w:pPr>
              <w:spacing w:line="240" w:lineRule="exact"/>
              <w:rPr>
                <w:rFonts w:ascii="Nirmala UI Semilight" w:hAnsi="Nirmala UI Semilight" w:cs="Nirmala UI Semilight"/>
              </w:rPr>
            </w:pPr>
            <w:r>
              <w:rPr>
                <w:rFonts w:ascii="Nirmala UI Semilight" w:hAnsi="Nirmala UI Semilight" w:cs="Nirmala UI Semilight"/>
              </w:rPr>
              <w:t>17</w:t>
            </w:r>
          </w:p>
        </w:tc>
        <w:tc>
          <w:tcPr>
            <w:tcW w:w="1620" w:type="dxa"/>
            <w:tcBorders>
              <w:top w:val="nil"/>
              <w:bottom w:val="single" w:sz="4" w:space="0" w:color="auto"/>
              <w:right w:val="dotted" w:sz="4" w:space="0" w:color="auto"/>
            </w:tcBorders>
            <w:shd w:val="clear" w:color="auto" w:fill="CAEDFB" w:themeFill="accent4" w:themeFillTint="33"/>
          </w:tcPr>
          <w:p w14:paraId="19923CC1" w14:textId="77777777" w:rsidR="008130CE" w:rsidRDefault="008130CE">
            <w:pPr>
              <w:spacing w:line="240" w:lineRule="exact"/>
              <w:rPr>
                <w:rFonts w:ascii="Nirmala UI Semilight" w:hAnsi="Nirmala UI Semilight" w:cs="Nirmala UI Semilight"/>
              </w:rPr>
            </w:pPr>
            <w:r>
              <w:rPr>
                <w:rFonts w:ascii="Nirmala UI Semilight" w:hAnsi="Nirmala UI Semilight" w:cs="Nirmala UI Semilight"/>
              </w:rPr>
              <w:t>2024-CRF-21</w:t>
            </w:r>
          </w:p>
        </w:tc>
        <w:tc>
          <w:tcPr>
            <w:tcW w:w="4140" w:type="dxa"/>
            <w:tcBorders>
              <w:top w:val="nil"/>
              <w:left w:val="dotted" w:sz="4" w:space="0" w:color="auto"/>
              <w:bottom w:val="single" w:sz="4" w:space="0" w:color="auto"/>
              <w:right w:val="dotted" w:sz="4" w:space="0" w:color="auto"/>
            </w:tcBorders>
            <w:shd w:val="clear" w:color="auto" w:fill="CAEDFB" w:themeFill="accent4" w:themeFillTint="33"/>
          </w:tcPr>
          <w:p w14:paraId="1A316CDE" w14:textId="77777777" w:rsidR="008130CE" w:rsidRPr="00310E77" w:rsidRDefault="008130CE">
            <w:pPr>
              <w:spacing w:line="240" w:lineRule="exact"/>
              <w:rPr>
                <w:rFonts w:ascii="Nirmala UI Semilight" w:hAnsi="Nirmala UI Semilight" w:cs="Nirmala UI Semilight"/>
              </w:rPr>
            </w:pPr>
            <w:r w:rsidRPr="000F1D8E">
              <w:rPr>
                <w:rFonts w:ascii="Nirmala UI Semilight" w:hAnsi="Nirmala UI Semilight" w:cs="Nirmala UI Semilight"/>
              </w:rPr>
              <w:t>Delivery Failure Charge Cap</w:t>
            </w:r>
          </w:p>
        </w:tc>
        <w:tc>
          <w:tcPr>
            <w:tcW w:w="810" w:type="dxa"/>
            <w:tcBorders>
              <w:top w:val="nil"/>
              <w:left w:val="dotted" w:sz="4" w:space="0" w:color="auto"/>
              <w:bottom w:val="single" w:sz="4" w:space="0" w:color="auto"/>
              <w:right w:val="dotted" w:sz="4" w:space="0" w:color="auto"/>
            </w:tcBorders>
            <w:shd w:val="clear" w:color="auto" w:fill="CAEDFB" w:themeFill="accent4" w:themeFillTint="33"/>
          </w:tcPr>
          <w:p w14:paraId="752A2F53" w14:textId="77777777" w:rsidR="008130CE" w:rsidRDefault="008130CE">
            <w:pPr>
              <w:spacing w:line="240" w:lineRule="exact"/>
              <w:rPr>
                <w:rFonts w:ascii="Nirmala UI Semilight" w:hAnsi="Nirmala UI Semilight" w:cs="Nirmala UI Semilight"/>
              </w:rPr>
            </w:pPr>
            <w:r w:rsidRPr="000F1D8E">
              <w:rPr>
                <w:rFonts w:ascii="Nirmala UI Semilight" w:hAnsi="Nirmala UI Semilight" w:cs="Nirmala UI Semilight"/>
              </w:rPr>
              <w:t>BPA</w:t>
            </w:r>
          </w:p>
        </w:tc>
        <w:tc>
          <w:tcPr>
            <w:tcW w:w="1261" w:type="dxa"/>
            <w:vMerge/>
            <w:tcBorders>
              <w:left w:val="dotted" w:sz="4" w:space="0" w:color="auto"/>
              <w:bottom w:val="single" w:sz="4" w:space="0" w:color="auto"/>
            </w:tcBorders>
            <w:shd w:val="clear" w:color="auto" w:fill="CAEDFB" w:themeFill="accent4" w:themeFillTint="33"/>
          </w:tcPr>
          <w:p w14:paraId="6E668992" w14:textId="77777777" w:rsidR="008130CE" w:rsidRDefault="008130CE">
            <w:pPr>
              <w:spacing w:line="240" w:lineRule="exact"/>
              <w:rPr>
                <w:rFonts w:ascii="Nirmala UI Semilight" w:hAnsi="Nirmala UI Semilight" w:cs="Nirmala UI Semilight"/>
              </w:rPr>
            </w:pPr>
          </w:p>
        </w:tc>
      </w:tr>
    </w:tbl>
    <w:p w14:paraId="3C0AF311" w14:textId="77777777" w:rsidR="008130CE" w:rsidRDefault="008130CE" w:rsidP="008130CE">
      <w:pPr>
        <w:spacing w:after="0" w:line="240" w:lineRule="exact"/>
        <w:rPr>
          <w:rFonts w:ascii="Nirmala UI Semilight" w:hAnsi="Nirmala UI Semilight" w:cs="Nirmala UI Semilight"/>
          <w:i/>
          <w:iCs/>
        </w:rPr>
      </w:pPr>
    </w:p>
    <w:p w14:paraId="0B1B98F0" w14:textId="77777777" w:rsidR="008130CE" w:rsidRPr="00902C30" w:rsidRDefault="008130CE" w:rsidP="008130CE">
      <w:pPr>
        <w:spacing w:after="0" w:line="240" w:lineRule="exact"/>
        <w:ind w:left="2160"/>
        <w:rPr>
          <w:rFonts w:ascii="Nirmala UI Semilight" w:hAnsi="Nirmala UI Semilight" w:cs="Nirmala UI Semilight"/>
          <w:i/>
          <w:iCs/>
        </w:rPr>
      </w:pPr>
      <w:r>
        <w:rPr>
          <w:rFonts w:ascii="Nirmala UI Semilight" w:hAnsi="Nirmala UI Semilight" w:cs="Nirmala UI Semilight"/>
          <w:i/>
          <w:iCs/>
        </w:rPr>
        <w:t xml:space="preserve"> </w:t>
      </w:r>
    </w:p>
    <w:p w14:paraId="3CC6E6C9" w14:textId="77777777" w:rsidR="008130CE" w:rsidRPr="008C1C3A" w:rsidRDefault="008130CE" w:rsidP="008130CE">
      <w:pPr>
        <w:pStyle w:val="ListParagraph"/>
        <w:numPr>
          <w:ilvl w:val="0"/>
          <w:numId w:val="24"/>
        </w:numPr>
        <w:spacing w:after="0" w:line="240" w:lineRule="exact"/>
        <w:jc w:val="left"/>
        <w:rPr>
          <w:rFonts w:ascii="Nirmala UI Semilight" w:hAnsi="Nirmala UI Semilight" w:cs="Nirmala UI Semilight"/>
          <w:u w:val="single"/>
        </w:rPr>
      </w:pPr>
      <w:r w:rsidRPr="008C1C3A">
        <w:rPr>
          <w:rFonts w:ascii="Nirmala UI Semilight" w:hAnsi="Nirmala UI Semilight" w:cs="Nirmala UI Semilight"/>
          <w:u w:val="single"/>
        </w:rPr>
        <w:t xml:space="preserve">Phase C - Combine into prioritized slate of Concepts </w:t>
      </w:r>
    </w:p>
    <w:p w14:paraId="35907E51" w14:textId="77777777" w:rsidR="008130CE" w:rsidRPr="0055217F" w:rsidRDefault="008130CE" w:rsidP="008130CE">
      <w:pPr>
        <w:pStyle w:val="ListParagraph"/>
        <w:numPr>
          <w:ilvl w:val="0"/>
          <w:numId w:val="22"/>
        </w:numPr>
        <w:spacing w:after="0" w:line="240" w:lineRule="exact"/>
        <w:ind w:left="1080"/>
        <w:jc w:val="left"/>
        <w:rPr>
          <w:rFonts w:ascii="Nirmala UI Semilight" w:hAnsi="Nirmala UI Semilight" w:cs="Nirmala UI Semilight"/>
        </w:rPr>
      </w:pPr>
      <w:r w:rsidRPr="00114E37">
        <w:rPr>
          <w:rFonts w:ascii="Nirmala UI Semilight" w:hAnsi="Nirmala UI Semilight" w:cs="Nirmala UI Semilight"/>
          <w:b/>
          <w:bCs/>
        </w:rPr>
        <w:t>11:20 – 11:45 (25 mins)</w:t>
      </w:r>
      <w:r>
        <w:rPr>
          <w:rFonts w:ascii="Nirmala UI Semilight" w:hAnsi="Nirmala UI Semilight" w:cs="Nirmala UI Semilight"/>
        </w:rPr>
        <w:t xml:space="preserve"> - </w:t>
      </w:r>
      <w:r w:rsidRPr="00FE130C">
        <w:rPr>
          <w:rFonts w:ascii="Nirmala UI Semilight" w:hAnsi="Nirmala UI Semilight" w:cs="Nirmala UI Semilight"/>
          <w:b/>
          <w:bCs/>
        </w:rPr>
        <w:t>Discussion of draft 2025 Workplan</w:t>
      </w:r>
    </w:p>
    <w:p w14:paraId="034AC657" w14:textId="77777777" w:rsidR="008130CE" w:rsidRDefault="008130CE" w:rsidP="008130CE">
      <w:pPr>
        <w:spacing w:after="0" w:line="240" w:lineRule="exact"/>
        <w:rPr>
          <w:rFonts w:ascii="Nirmala UI Semilight" w:hAnsi="Nirmala UI Semilight" w:cs="Nirmala UI Semilight"/>
        </w:rPr>
      </w:pPr>
    </w:p>
    <w:p w14:paraId="66A7B412" w14:textId="77777777" w:rsidR="008130CE" w:rsidRPr="002D2746" w:rsidRDefault="008130CE" w:rsidP="008130CE">
      <w:pPr>
        <w:spacing w:after="0" w:line="240" w:lineRule="exact"/>
        <w:ind w:left="1440"/>
        <w:rPr>
          <w:rFonts w:ascii="Nirmala UI Semilight" w:hAnsi="Nirmala UI Semilight" w:cs="Nirmala UI Semilight"/>
          <w:b/>
          <w:bCs/>
          <w:i/>
          <w:iCs/>
        </w:rPr>
      </w:pPr>
      <w:r w:rsidRPr="0055217F">
        <w:rPr>
          <w:rFonts w:ascii="Nirmala UI Semilight" w:hAnsi="Nirmala UI Semilight" w:cs="Nirmala UI Semilight"/>
          <w:b/>
          <w:bCs/>
          <w:i/>
          <w:iCs/>
        </w:rPr>
        <w:t>Task Force Management:</w:t>
      </w:r>
    </w:p>
    <w:p w14:paraId="4AB406C9" w14:textId="77777777" w:rsidR="008130CE" w:rsidRDefault="008130CE" w:rsidP="008130CE">
      <w:pPr>
        <w:spacing w:after="0" w:line="240" w:lineRule="exact"/>
        <w:ind w:left="1440"/>
        <w:rPr>
          <w:rFonts w:ascii="Nirmala UI Semilight" w:hAnsi="Nirmala UI Semilight" w:cs="Nirmala UI Semilight"/>
          <w:i/>
          <w:iCs/>
        </w:rPr>
      </w:pPr>
      <w:r>
        <w:rPr>
          <w:rFonts w:ascii="Nirmala UI Semilight" w:hAnsi="Nirmala UI Semilight" w:cs="Nirmala UI Semilight"/>
          <w:i/>
          <w:iCs/>
        </w:rPr>
        <w:t>BPA</w:t>
      </w:r>
      <w:r w:rsidRPr="0055217F">
        <w:rPr>
          <w:rFonts w:ascii="Nirmala UI Semilight" w:hAnsi="Nirmala UI Semilight" w:cs="Nirmala UI Semilight"/>
          <w:i/>
          <w:iCs/>
        </w:rPr>
        <w:t xml:space="preserve"> expressed concern about balancing the number of long, medium, and short task forces. Focusing too heavily on long-term tasks may delay progress on shorter items. A mix of short and long tasks could ensure </w:t>
      </w:r>
      <w:r w:rsidRPr="0055217F">
        <w:rPr>
          <w:rFonts w:ascii="Nirmala UI Semilight" w:hAnsi="Nirmala UI Semilight" w:cs="Nirmala UI Semilight"/>
          <w:i/>
          <w:iCs/>
        </w:rPr>
        <w:lastRenderedPageBreak/>
        <w:t xml:space="preserve">continuous progress. For long tasks, multiple teams could work on the same issue with different </w:t>
      </w:r>
      <w:proofErr w:type="gramStart"/>
      <w:r w:rsidRPr="0055217F">
        <w:rPr>
          <w:rFonts w:ascii="Nirmala UI Semilight" w:hAnsi="Nirmala UI Semilight" w:cs="Nirmala UI Semilight"/>
          <w:i/>
          <w:iCs/>
        </w:rPr>
        <w:t>leads</w:t>
      </w:r>
      <w:proofErr w:type="gramEnd"/>
      <w:r w:rsidRPr="0055217F">
        <w:rPr>
          <w:rFonts w:ascii="Nirmala UI Semilight" w:hAnsi="Nirmala UI Semilight" w:cs="Nirmala UI Semilight"/>
          <w:i/>
          <w:iCs/>
        </w:rPr>
        <w:t>.</w:t>
      </w:r>
    </w:p>
    <w:p w14:paraId="77751B3E" w14:textId="77777777" w:rsidR="008130CE" w:rsidRPr="0055217F" w:rsidRDefault="008130CE" w:rsidP="008130CE">
      <w:pPr>
        <w:spacing w:after="0" w:line="240" w:lineRule="exact"/>
        <w:ind w:left="1440"/>
        <w:rPr>
          <w:rFonts w:ascii="Nirmala UI Semilight" w:hAnsi="Nirmala UI Semilight" w:cs="Nirmala UI Semilight"/>
          <w:i/>
          <w:iCs/>
        </w:rPr>
      </w:pPr>
    </w:p>
    <w:p w14:paraId="62A30BA3" w14:textId="77777777" w:rsidR="008130CE" w:rsidRDefault="008130CE" w:rsidP="008130CE">
      <w:pPr>
        <w:spacing w:after="0" w:line="240" w:lineRule="exact"/>
        <w:ind w:left="1440"/>
        <w:rPr>
          <w:rFonts w:ascii="Nirmala UI Semilight" w:hAnsi="Nirmala UI Semilight" w:cs="Nirmala UI Semilight"/>
          <w:i/>
          <w:iCs/>
        </w:rPr>
      </w:pPr>
      <w:r w:rsidRPr="0055217F">
        <w:rPr>
          <w:rFonts w:ascii="Nirmala UI Semilight" w:hAnsi="Nirmala UI Semilight" w:cs="Nirmala UI Semilight"/>
          <w:i/>
          <w:iCs/>
        </w:rPr>
        <w:t xml:space="preserve">WPP emphasized the need for flexibility </w:t>
      </w:r>
      <w:r>
        <w:rPr>
          <w:rFonts w:ascii="Nirmala UI Semilight" w:hAnsi="Nirmala UI Semilight" w:cs="Nirmala UI Semilight"/>
          <w:i/>
          <w:iCs/>
        </w:rPr>
        <w:t xml:space="preserve">in the work plan </w:t>
      </w:r>
      <w:r w:rsidRPr="0055217F">
        <w:rPr>
          <w:rFonts w:ascii="Nirmala UI Semilight" w:hAnsi="Nirmala UI Semilight" w:cs="Nirmala UI Semilight"/>
          <w:i/>
          <w:iCs/>
        </w:rPr>
        <w:t>and suggested that short tasks might be more suitable for NTFPs. Re-arranging tasks could help manage workload across task forces. Some long tasks could be split across multiple task forces to avoid overburdening any one group.</w:t>
      </w:r>
    </w:p>
    <w:p w14:paraId="24025EA2" w14:textId="77777777" w:rsidR="008130CE" w:rsidRPr="0055217F" w:rsidRDefault="008130CE" w:rsidP="008130CE">
      <w:pPr>
        <w:spacing w:after="0" w:line="240" w:lineRule="exact"/>
        <w:ind w:left="1440"/>
        <w:rPr>
          <w:rFonts w:ascii="Nirmala UI Semilight" w:hAnsi="Nirmala UI Semilight" w:cs="Nirmala UI Semilight"/>
          <w:i/>
          <w:iCs/>
        </w:rPr>
      </w:pPr>
    </w:p>
    <w:p w14:paraId="09F52E58" w14:textId="77777777" w:rsidR="008130CE" w:rsidRDefault="008130CE" w:rsidP="008130CE">
      <w:pPr>
        <w:spacing w:after="0" w:line="240" w:lineRule="exact"/>
        <w:ind w:left="1440"/>
        <w:rPr>
          <w:rFonts w:ascii="Nirmala UI Semilight" w:hAnsi="Nirmala UI Semilight" w:cs="Nirmala UI Semilight"/>
          <w:i/>
          <w:iCs/>
        </w:rPr>
      </w:pPr>
      <w:r w:rsidRPr="008650CE">
        <w:rPr>
          <w:rFonts w:ascii="Nirmala UI Semilight" w:hAnsi="Nirmala UI Semilight" w:cs="Nirmala UI Semilight"/>
          <w:b/>
          <w:bCs/>
          <w:i/>
          <w:iCs/>
        </w:rPr>
        <w:t>Scheduling and Task Force Leadership</w:t>
      </w:r>
      <w:r w:rsidRPr="0055217F">
        <w:rPr>
          <w:rFonts w:ascii="Nirmala UI Semilight" w:hAnsi="Nirmala UI Semilight" w:cs="Nirmala UI Semilight"/>
          <w:i/>
          <w:iCs/>
        </w:rPr>
        <w:t>:</w:t>
      </w:r>
    </w:p>
    <w:p w14:paraId="1DFF9002" w14:textId="77777777" w:rsidR="008130CE" w:rsidRDefault="008130CE" w:rsidP="008130CE">
      <w:pPr>
        <w:spacing w:after="0" w:line="240" w:lineRule="exact"/>
        <w:ind w:left="1440"/>
        <w:rPr>
          <w:rFonts w:ascii="Nirmala UI Semilight" w:hAnsi="Nirmala UI Semilight" w:cs="Nirmala UI Semilight"/>
          <w:i/>
          <w:iCs/>
        </w:rPr>
      </w:pPr>
      <w:r>
        <w:rPr>
          <w:rFonts w:ascii="Nirmala UI Semilight" w:hAnsi="Nirmala UI Semilight" w:cs="Nirmala UI Semilight"/>
          <w:i/>
          <w:iCs/>
        </w:rPr>
        <w:t>Concerns were raised</w:t>
      </w:r>
      <w:r w:rsidRPr="0055217F">
        <w:rPr>
          <w:rFonts w:ascii="Nirmala UI Semilight" w:hAnsi="Nirmala UI Semilight" w:cs="Nirmala UI Semilight"/>
          <w:i/>
          <w:iCs/>
        </w:rPr>
        <w:t xml:space="preserve"> about </w:t>
      </w:r>
      <w:r>
        <w:rPr>
          <w:rFonts w:ascii="Nirmala UI Semilight" w:hAnsi="Nirmala UI Semilight" w:cs="Nirmala UI Semilight"/>
          <w:i/>
          <w:iCs/>
        </w:rPr>
        <w:t xml:space="preserve">sponsors being involved in potentially too many task forces (APS for example). APS </w:t>
      </w:r>
      <w:r w:rsidRPr="007645E0">
        <w:rPr>
          <w:rFonts w:ascii="Nirmala UI Semilight" w:hAnsi="Nirmala UI Semilight" w:cs="Nirmala UI Semilight"/>
          <w:i/>
          <w:iCs/>
        </w:rPr>
        <w:t>proposed sharing leadership duties for certain task</w:t>
      </w:r>
      <w:r>
        <w:rPr>
          <w:rFonts w:ascii="Nirmala UI Semilight" w:hAnsi="Nirmala UI Semilight" w:cs="Nirmala UI Semilight"/>
          <w:i/>
          <w:iCs/>
        </w:rPr>
        <w:t xml:space="preserve"> forces</w:t>
      </w:r>
      <w:r w:rsidRPr="007645E0">
        <w:rPr>
          <w:rFonts w:ascii="Nirmala UI Semilight" w:hAnsi="Nirmala UI Semilight" w:cs="Nirmala UI Semilight"/>
          <w:i/>
          <w:iCs/>
        </w:rPr>
        <w:t xml:space="preserve"> to distribute the workload more effectively.</w:t>
      </w:r>
      <w:r>
        <w:rPr>
          <w:rFonts w:ascii="Nirmala UI Semilight" w:hAnsi="Nirmala UI Semilight" w:cs="Nirmala UI Semilight"/>
          <w:i/>
          <w:iCs/>
        </w:rPr>
        <w:t xml:space="preserve"> </w:t>
      </w:r>
      <w:r w:rsidRPr="0055217F">
        <w:rPr>
          <w:rFonts w:ascii="Nirmala UI Semilight" w:hAnsi="Nirmala UI Semilight" w:cs="Nirmala UI Semilight"/>
          <w:i/>
          <w:iCs/>
        </w:rPr>
        <w:t>WPP mentioned that sponsors could lead</w:t>
      </w:r>
      <w:r>
        <w:rPr>
          <w:rFonts w:ascii="Nirmala UI Semilight" w:hAnsi="Nirmala UI Semilight" w:cs="Nirmala UI Semilight"/>
          <w:i/>
          <w:iCs/>
        </w:rPr>
        <w:t xml:space="preserve"> on their own</w:t>
      </w:r>
      <w:r w:rsidRPr="0055217F">
        <w:rPr>
          <w:rFonts w:ascii="Nirmala UI Semilight" w:hAnsi="Nirmala UI Semilight" w:cs="Nirmala UI Semilight"/>
          <w:i/>
          <w:iCs/>
        </w:rPr>
        <w:t xml:space="preserve"> or co-lead task forces, with the flexibility to adjust schedules if needed.</w:t>
      </w:r>
    </w:p>
    <w:p w14:paraId="70444C61" w14:textId="77777777" w:rsidR="008130CE" w:rsidRPr="0055217F" w:rsidRDefault="008130CE" w:rsidP="008130CE">
      <w:pPr>
        <w:spacing w:after="0" w:line="240" w:lineRule="exact"/>
        <w:ind w:left="1440"/>
        <w:rPr>
          <w:rFonts w:ascii="Nirmala UI Semilight" w:hAnsi="Nirmala UI Semilight" w:cs="Nirmala UI Semilight"/>
          <w:i/>
          <w:iCs/>
        </w:rPr>
      </w:pPr>
    </w:p>
    <w:p w14:paraId="07331329" w14:textId="77777777" w:rsidR="008130CE" w:rsidRPr="002D2746" w:rsidRDefault="008130CE" w:rsidP="008130CE">
      <w:pPr>
        <w:spacing w:after="0" w:line="240" w:lineRule="exact"/>
        <w:ind w:left="1440"/>
        <w:rPr>
          <w:rFonts w:ascii="Nirmala UI Semilight" w:hAnsi="Nirmala UI Semilight" w:cs="Nirmala UI Semilight"/>
          <w:b/>
          <w:bCs/>
          <w:i/>
          <w:iCs/>
        </w:rPr>
      </w:pPr>
      <w:r w:rsidRPr="007645E0">
        <w:rPr>
          <w:rFonts w:ascii="Nirmala UI Semilight" w:hAnsi="Nirmala UI Semilight" w:cs="Nirmala UI Semilight"/>
          <w:b/>
          <w:bCs/>
          <w:i/>
          <w:iCs/>
        </w:rPr>
        <w:t>Prioritization and Ranking:</w:t>
      </w:r>
    </w:p>
    <w:p w14:paraId="4D72D15A" w14:textId="77777777" w:rsidR="008130CE" w:rsidRDefault="008130CE" w:rsidP="008130CE">
      <w:pPr>
        <w:spacing w:after="0" w:line="240" w:lineRule="exact"/>
        <w:ind w:left="1440"/>
        <w:rPr>
          <w:rFonts w:ascii="Nirmala UI Semilight" w:hAnsi="Nirmala UI Semilight" w:cs="Nirmala UI Semilight"/>
          <w:i/>
          <w:iCs/>
        </w:rPr>
      </w:pPr>
      <w:r w:rsidRPr="0055217F">
        <w:rPr>
          <w:rFonts w:ascii="Nirmala UI Semilight" w:hAnsi="Nirmala UI Semilight" w:cs="Nirmala UI Semilight"/>
          <w:i/>
          <w:iCs/>
        </w:rPr>
        <w:t xml:space="preserve">The PRC </w:t>
      </w:r>
      <w:r>
        <w:rPr>
          <w:rFonts w:ascii="Nirmala UI Semilight" w:hAnsi="Nirmala UI Semilight" w:cs="Nirmala UI Semilight"/>
          <w:i/>
          <w:iCs/>
        </w:rPr>
        <w:t>discussed to</w:t>
      </w:r>
      <w:r w:rsidRPr="0055217F">
        <w:rPr>
          <w:rFonts w:ascii="Nirmala UI Semilight" w:hAnsi="Nirmala UI Semilight" w:cs="Nirmala UI Semilight"/>
          <w:i/>
          <w:iCs/>
        </w:rPr>
        <w:t xml:space="preserve"> structure the work plan with two </w:t>
      </w:r>
      <w:r>
        <w:rPr>
          <w:rFonts w:ascii="Nirmala UI Semilight" w:hAnsi="Nirmala UI Semilight" w:cs="Nirmala UI Semilight"/>
          <w:i/>
          <w:iCs/>
        </w:rPr>
        <w:t>“</w:t>
      </w:r>
      <w:r w:rsidRPr="007645E0">
        <w:rPr>
          <w:rFonts w:ascii="Nirmala UI Semilight" w:hAnsi="Nirmala UI Semilight" w:cs="Nirmala UI Semilight"/>
          <w:i/>
          <w:iCs/>
          <w:u w:val="single"/>
        </w:rPr>
        <w:t>longer term CRF</w:t>
      </w:r>
      <w:r>
        <w:rPr>
          <w:rFonts w:ascii="Nirmala UI Semilight" w:hAnsi="Nirmala UI Semilight" w:cs="Nirmala UI Semilight"/>
          <w:i/>
          <w:iCs/>
        </w:rPr>
        <w:t>” l</w:t>
      </w:r>
      <w:r w:rsidRPr="0055217F">
        <w:rPr>
          <w:rFonts w:ascii="Nirmala UI Semilight" w:hAnsi="Nirmala UI Semilight" w:cs="Nirmala UI Semilight"/>
          <w:i/>
          <w:iCs/>
        </w:rPr>
        <w:t xml:space="preserve">anes and one </w:t>
      </w:r>
      <w:r>
        <w:rPr>
          <w:rFonts w:ascii="Nirmala UI Semilight" w:hAnsi="Nirmala UI Semilight" w:cs="Nirmala UI Semilight"/>
          <w:i/>
          <w:iCs/>
        </w:rPr>
        <w:t>“</w:t>
      </w:r>
      <w:r w:rsidRPr="007645E0">
        <w:rPr>
          <w:rFonts w:ascii="Nirmala UI Semilight" w:hAnsi="Nirmala UI Semilight" w:cs="Nirmala UI Semilight"/>
          <w:i/>
          <w:iCs/>
          <w:u w:val="single"/>
        </w:rPr>
        <w:t>medium/short CRF</w:t>
      </w:r>
      <w:r>
        <w:rPr>
          <w:rFonts w:ascii="Nirmala UI Semilight" w:hAnsi="Nirmala UI Semilight" w:cs="Nirmala UI Semilight"/>
          <w:i/>
          <w:iCs/>
        </w:rPr>
        <w:t>”</w:t>
      </w:r>
      <w:r w:rsidRPr="0055217F">
        <w:rPr>
          <w:rFonts w:ascii="Nirmala UI Semilight" w:hAnsi="Nirmala UI Semilight" w:cs="Nirmala UI Semilight"/>
          <w:i/>
          <w:iCs/>
        </w:rPr>
        <w:t xml:space="preserve"> lane. The long lanes will include tasks like the Load Growth Factor and Day-Ahead Optimization, with a medium/short lane focusing on tasks like CAISO and Demand Response. </w:t>
      </w:r>
    </w:p>
    <w:p w14:paraId="48D65225" w14:textId="77777777" w:rsidR="008130CE" w:rsidRDefault="008130CE" w:rsidP="008130CE">
      <w:pPr>
        <w:spacing w:after="0" w:line="240" w:lineRule="exact"/>
        <w:ind w:left="1440"/>
        <w:rPr>
          <w:rFonts w:ascii="Nirmala UI Semilight" w:hAnsi="Nirmala UI Semilight" w:cs="Nirmala UI Semilight"/>
          <w:i/>
          <w:iCs/>
        </w:rPr>
      </w:pPr>
    </w:p>
    <w:p w14:paraId="611A3739" w14:textId="77777777" w:rsidR="008130CE" w:rsidRDefault="008130CE" w:rsidP="008130CE">
      <w:pPr>
        <w:spacing w:after="0" w:line="240" w:lineRule="exact"/>
        <w:ind w:left="1440"/>
        <w:rPr>
          <w:rFonts w:ascii="Nirmala UI Semilight" w:hAnsi="Nirmala UI Semilight" w:cs="Nirmala UI Semilight"/>
          <w:i/>
          <w:iCs/>
        </w:rPr>
      </w:pPr>
      <w:r>
        <w:rPr>
          <w:rFonts w:ascii="Nirmala UI Semilight" w:hAnsi="Nirmala UI Semilight" w:cs="Nirmala UI Semilight"/>
          <w:i/>
          <w:iCs/>
        </w:rPr>
        <w:t xml:space="preserve">This would allow for the PRC to work through multiple long-term and short-term concepts simultaneously. </w:t>
      </w:r>
      <w:r w:rsidRPr="0055217F">
        <w:rPr>
          <w:rFonts w:ascii="Nirmala UI Semilight" w:hAnsi="Nirmala UI Semilight" w:cs="Nirmala UI Semilight"/>
          <w:i/>
          <w:iCs/>
        </w:rPr>
        <w:t>These tasks will be scheduled over the next year, and adjustments will be made as needed.</w:t>
      </w:r>
      <w:r>
        <w:rPr>
          <w:rFonts w:ascii="Nirmala UI Semilight" w:hAnsi="Nirmala UI Semilight" w:cs="Nirmala UI Semilight"/>
          <w:i/>
          <w:iCs/>
        </w:rPr>
        <w:t xml:space="preserve"> No decision was officially made on this structure but was viewed positively by most representatives. </w:t>
      </w:r>
    </w:p>
    <w:p w14:paraId="45C5611F" w14:textId="77777777" w:rsidR="008130CE" w:rsidRDefault="008130CE" w:rsidP="008130CE">
      <w:pPr>
        <w:spacing w:after="0" w:line="240" w:lineRule="exact"/>
        <w:ind w:left="1440"/>
        <w:rPr>
          <w:rFonts w:ascii="Nirmala UI Semilight" w:hAnsi="Nirmala UI Semilight" w:cs="Nirmala UI Semilight"/>
          <w:i/>
          <w:iCs/>
        </w:rPr>
      </w:pPr>
    </w:p>
    <w:p w14:paraId="402BACD1" w14:textId="77777777" w:rsidR="008130CE" w:rsidRDefault="008130CE" w:rsidP="008130CE">
      <w:pPr>
        <w:spacing w:after="0" w:line="240" w:lineRule="exact"/>
        <w:ind w:left="1440"/>
        <w:rPr>
          <w:rFonts w:ascii="Nirmala UI Semilight" w:hAnsi="Nirmala UI Semilight" w:cs="Nirmala UI Semilight"/>
          <w:i/>
          <w:iCs/>
        </w:rPr>
      </w:pPr>
      <w:r>
        <w:rPr>
          <w:rFonts w:ascii="Nirmala UI Semilight" w:hAnsi="Nirmala UI Semilight" w:cs="Nirmala UI Semilight"/>
          <w:i/>
          <w:iCs/>
        </w:rPr>
        <w:t>It was also highlighted by WPP that the</w:t>
      </w:r>
      <w:r w:rsidRPr="0055217F">
        <w:rPr>
          <w:rFonts w:ascii="Nirmala UI Semilight" w:hAnsi="Nirmala UI Semilight" w:cs="Nirmala UI Semilight"/>
          <w:i/>
          <w:iCs/>
        </w:rPr>
        <w:t xml:space="preserve"> work plan should identify the necessary task force members, </w:t>
      </w:r>
      <w:r>
        <w:rPr>
          <w:rFonts w:ascii="Nirmala UI Semilight" w:hAnsi="Nirmala UI Semilight" w:cs="Nirmala UI Semilight"/>
          <w:i/>
          <w:iCs/>
        </w:rPr>
        <w:t>and the</w:t>
      </w:r>
      <w:r w:rsidRPr="0055217F">
        <w:rPr>
          <w:rFonts w:ascii="Nirmala UI Semilight" w:hAnsi="Nirmala UI Semilight" w:cs="Nirmala UI Semilight"/>
          <w:i/>
          <w:iCs/>
        </w:rPr>
        <w:t xml:space="preserve"> PRC </w:t>
      </w:r>
      <w:r>
        <w:rPr>
          <w:rFonts w:ascii="Nirmala UI Semilight" w:hAnsi="Nirmala UI Semilight" w:cs="Nirmala UI Semilight"/>
          <w:i/>
          <w:iCs/>
        </w:rPr>
        <w:t xml:space="preserve">is </w:t>
      </w:r>
      <w:r w:rsidRPr="0055217F">
        <w:rPr>
          <w:rFonts w:ascii="Nirmala UI Semilight" w:hAnsi="Nirmala UI Semilight" w:cs="Nirmala UI Semilight"/>
          <w:i/>
          <w:iCs/>
        </w:rPr>
        <w:t>responsible for determining the appropriate task force composition.</w:t>
      </w:r>
    </w:p>
    <w:p w14:paraId="66919D7F" w14:textId="77777777" w:rsidR="008130CE" w:rsidRDefault="008130CE" w:rsidP="008130CE">
      <w:pPr>
        <w:spacing w:after="0" w:line="240" w:lineRule="exact"/>
        <w:ind w:left="1440"/>
        <w:rPr>
          <w:rFonts w:ascii="Nirmala UI Semilight" w:hAnsi="Nirmala UI Semilight" w:cs="Nirmala UI Semilight"/>
          <w:i/>
          <w:iCs/>
        </w:rPr>
      </w:pPr>
    </w:p>
    <w:p w14:paraId="7B540D97" w14:textId="77777777" w:rsidR="008130CE" w:rsidRDefault="008130CE" w:rsidP="008130CE">
      <w:pPr>
        <w:spacing w:after="0" w:line="240" w:lineRule="exact"/>
        <w:ind w:left="1440"/>
        <w:rPr>
          <w:rFonts w:ascii="Nirmala UI Semilight" w:hAnsi="Nirmala UI Semilight" w:cs="Nirmala UI Semilight"/>
          <w:i/>
          <w:iCs/>
        </w:rPr>
      </w:pPr>
      <w:r w:rsidRPr="00D822B7">
        <w:rPr>
          <w:rFonts w:ascii="Nirmala UI Semilight" w:hAnsi="Nirmala UI Semilight" w:cs="Nirmala UI Semilight"/>
          <w:b/>
          <w:bCs/>
          <w:i/>
          <w:iCs/>
        </w:rPr>
        <w:t>Motion:</w:t>
      </w:r>
      <w:r>
        <w:rPr>
          <w:rFonts w:ascii="Nirmala UI Semilight" w:hAnsi="Nirmala UI Semilight" w:cs="Nirmala UI Semilight"/>
          <w:i/>
          <w:iCs/>
        </w:rPr>
        <w:t xml:space="preserve"> As determined on meeting of 1/23, NWEC motions to approve the prioritization list. SRP seconds the motion. No discussion. The motion passed unanimously.</w:t>
      </w:r>
    </w:p>
    <w:p w14:paraId="629A4EBE" w14:textId="77777777" w:rsidR="008130CE" w:rsidRPr="0055217F" w:rsidRDefault="008130CE" w:rsidP="008130CE">
      <w:pPr>
        <w:spacing w:after="0" w:line="240" w:lineRule="exact"/>
        <w:rPr>
          <w:rFonts w:ascii="Nirmala UI Semilight" w:hAnsi="Nirmala UI Semilight" w:cs="Nirmala UI Semilight"/>
        </w:rPr>
      </w:pPr>
    </w:p>
    <w:p w14:paraId="54CBB6A6" w14:textId="77777777" w:rsidR="008130CE" w:rsidRPr="006C7D80" w:rsidRDefault="008130CE" w:rsidP="008130CE">
      <w:pPr>
        <w:pStyle w:val="ListParagraph"/>
        <w:numPr>
          <w:ilvl w:val="0"/>
          <w:numId w:val="22"/>
        </w:numPr>
        <w:spacing w:after="0" w:line="240" w:lineRule="exact"/>
        <w:ind w:left="1080"/>
        <w:jc w:val="left"/>
        <w:rPr>
          <w:rFonts w:ascii="Nirmala UI Semilight" w:hAnsi="Nirmala UI Semilight" w:cs="Nirmala UI Semilight"/>
        </w:rPr>
      </w:pPr>
      <w:r w:rsidRPr="00114E37">
        <w:rPr>
          <w:rFonts w:ascii="Nirmala UI Semilight" w:hAnsi="Nirmala UI Semilight" w:cs="Nirmala UI Semilight"/>
          <w:b/>
          <w:bCs/>
        </w:rPr>
        <w:t>11:45-11:55 (10 mins)</w:t>
      </w:r>
      <w:r>
        <w:rPr>
          <w:rFonts w:ascii="Nirmala UI Semilight" w:hAnsi="Nirmala UI Semilight" w:cs="Nirmala UI Semilight"/>
        </w:rPr>
        <w:t xml:space="preserve"> - </w:t>
      </w:r>
      <w:r w:rsidRPr="00FE130C">
        <w:rPr>
          <w:rFonts w:ascii="Nirmala UI Semilight" w:hAnsi="Nirmala UI Semilight" w:cs="Nirmala UI Semilight"/>
          <w:b/>
          <w:bCs/>
        </w:rPr>
        <w:t>Lessons Learned</w:t>
      </w:r>
      <w:r>
        <w:rPr>
          <w:rFonts w:ascii="Nirmala UI Semilight" w:hAnsi="Nirmala UI Semilight" w:cs="Nirmala UI Semilight"/>
          <w:b/>
          <w:bCs/>
        </w:rPr>
        <w:t>:</w:t>
      </w:r>
    </w:p>
    <w:p w14:paraId="262AE02A" w14:textId="77777777" w:rsidR="008130CE" w:rsidRPr="00534434" w:rsidRDefault="008130CE" w:rsidP="008130CE">
      <w:pPr>
        <w:pStyle w:val="ListParagraph"/>
        <w:numPr>
          <w:ilvl w:val="0"/>
          <w:numId w:val="46"/>
        </w:numPr>
        <w:spacing w:after="0" w:line="240" w:lineRule="exact"/>
        <w:ind w:left="1440"/>
        <w:jc w:val="left"/>
        <w:rPr>
          <w:rFonts w:ascii="Nirmala UI Semilight" w:hAnsi="Nirmala UI Semilight" w:cs="Nirmala UI Semilight"/>
          <w:i/>
          <w:iCs/>
        </w:rPr>
      </w:pPr>
      <w:r w:rsidRPr="00534434">
        <w:rPr>
          <w:rFonts w:ascii="Nirmala UI Semilight" w:hAnsi="Nirmala UI Semilight" w:cs="Nirmala UI Semilight"/>
          <w:i/>
          <w:iCs/>
        </w:rPr>
        <w:t>A potential in-person meeting should be scheduled to review CRF submissions, consolidate similar concepts, and create a priority list. If not all in one session, discussing all submissions as a group before determining priorities would be beneficial.</w:t>
      </w:r>
    </w:p>
    <w:p w14:paraId="55E66746" w14:textId="77777777" w:rsidR="008130CE" w:rsidRPr="00534434" w:rsidRDefault="008130CE" w:rsidP="008130CE">
      <w:pPr>
        <w:pStyle w:val="ListParagraph"/>
        <w:spacing w:after="0" w:line="240" w:lineRule="exact"/>
        <w:ind w:left="3600"/>
        <w:rPr>
          <w:rFonts w:ascii="Nirmala UI Semilight" w:hAnsi="Nirmala UI Semilight" w:cs="Nirmala UI Semilight"/>
          <w:i/>
          <w:iCs/>
        </w:rPr>
      </w:pPr>
    </w:p>
    <w:p w14:paraId="0314D53B" w14:textId="77777777" w:rsidR="008130CE" w:rsidRPr="00534434" w:rsidRDefault="008130CE" w:rsidP="008130CE">
      <w:pPr>
        <w:pStyle w:val="ListParagraph"/>
        <w:numPr>
          <w:ilvl w:val="0"/>
          <w:numId w:val="46"/>
        </w:numPr>
        <w:spacing w:after="0" w:line="240" w:lineRule="exact"/>
        <w:ind w:left="1440"/>
        <w:jc w:val="left"/>
        <w:rPr>
          <w:rFonts w:ascii="Nirmala UI Semilight" w:hAnsi="Nirmala UI Semilight" w:cs="Nirmala UI Semilight"/>
          <w:i/>
          <w:iCs/>
        </w:rPr>
      </w:pPr>
      <w:r w:rsidRPr="00534434">
        <w:rPr>
          <w:rFonts w:ascii="Nirmala UI Semilight" w:hAnsi="Nirmala UI Semilight" w:cs="Nirmala UI Semilight"/>
          <w:i/>
          <w:iCs/>
        </w:rPr>
        <w:t>For the initial Top 9 prioritization, the process should potentially remain with PRC Representatives. While we value open voting, assessing vote distribution can be challenging, particularly when multiple votes come from the same organization.</w:t>
      </w:r>
    </w:p>
    <w:p w14:paraId="5144E205" w14:textId="77777777" w:rsidR="008130CE" w:rsidRPr="00534434" w:rsidRDefault="008130CE" w:rsidP="008130CE">
      <w:pPr>
        <w:pStyle w:val="ListParagraph"/>
        <w:spacing w:after="0" w:line="240" w:lineRule="exact"/>
        <w:ind w:left="1800"/>
        <w:rPr>
          <w:rFonts w:ascii="Nirmala UI Semilight" w:hAnsi="Nirmala UI Semilight" w:cs="Nirmala UI Semilight"/>
          <w:i/>
          <w:iCs/>
        </w:rPr>
      </w:pPr>
    </w:p>
    <w:p w14:paraId="5A9FAC63" w14:textId="77777777" w:rsidR="008130CE" w:rsidRPr="00534434" w:rsidRDefault="008130CE" w:rsidP="008130CE">
      <w:pPr>
        <w:pStyle w:val="ListParagraph"/>
        <w:spacing w:after="0" w:line="240" w:lineRule="exact"/>
        <w:ind w:left="1440"/>
        <w:rPr>
          <w:rFonts w:ascii="Nirmala UI Semilight" w:hAnsi="Nirmala UI Semilight" w:cs="Nirmala UI Semilight"/>
          <w:i/>
          <w:iCs/>
        </w:rPr>
      </w:pPr>
      <w:r w:rsidRPr="00534434">
        <w:rPr>
          <w:rFonts w:ascii="Nirmala UI Semilight" w:hAnsi="Nirmala UI Semilight" w:cs="Nirmala UI Semilight"/>
          <w:b/>
          <w:bCs/>
          <w:i/>
          <w:iCs/>
        </w:rPr>
        <w:t>PRC Representatives:</w:t>
      </w:r>
      <w:r w:rsidRPr="00534434">
        <w:rPr>
          <w:rFonts w:ascii="Nirmala UI Semilight" w:hAnsi="Nirmala UI Semilight" w:cs="Nirmala UI Semilight"/>
          <w:i/>
          <w:iCs/>
        </w:rPr>
        <w:t xml:space="preserve"> </w:t>
      </w:r>
      <w:r w:rsidRPr="002D2746">
        <w:rPr>
          <w:rFonts w:ascii="Nirmala UI Semilight" w:hAnsi="Nirmala UI Semilight" w:cs="Nirmala UI Semilight"/>
          <w:b/>
          <w:bCs/>
          <w:i/>
          <w:iCs/>
        </w:rPr>
        <w:t>Please email your feedback on what was helpful and any suggestions for improvement.</w:t>
      </w:r>
    </w:p>
    <w:p w14:paraId="3AA54940" w14:textId="77777777" w:rsidR="008130CE" w:rsidRPr="00082CE5" w:rsidRDefault="008130CE" w:rsidP="008130CE">
      <w:pPr>
        <w:pStyle w:val="ListParagraph"/>
        <w:spacing w:after="0" w:line="240" w:lineRule="exact"/>
        <w:ind w:left="1440"/>
        <w:rPr>
          <w:rFonts w:ascii="Nirmala UI Semilight" w:hAnsi="Nirmala UI Semilight" w:cs="Nirmala UI Semilight"/>
        </w:rPr>
      </w:pPr>
    </w:p>
    <w:p w14:paraId="71F7FCAE" w14:textId="77777777" w:rsidR="008130CE" w:rsidRPr="0055217F" w:rsidRDefault="008130CE" w:rsidP="008130CE">
      <w:pPr>
        <w:pStyle w:val="ListParagraph"/>
        <w:numPr>
          <w:ilvl w:val="0"/>
          <w:numId w:val="22"/>
        </w:numPr>
        <w:spacing w:after="0" w:line="240" w:lineRule="exact"/>
        <w:ind w:left="1080"/>
        <w:jc w:val="left"/>
        <w:rPr>
          <w:rFonts w:ascii="Nirmala UI Semilight" w:hAnsi="Nirmala UI Semilight" w:cs="Nirmala UI Semilight"/>
          <w:b/>
          <w:bCs/>
        </w:rPr>
      </w:pPr>
      <w:r w:rsidRPr="00114E37">
        <w:rPr>
          <w:rFonts w:ascii="Nirmala UI Semilight" w:hAnsi="Nirmala UI Semilight" w:cs="Nirmala UI Semilight"/>
          <w:b/>
          <w:bCs/>
        </w:rPr>
        <w:t>11:55-12:00 (5 mins)</w:t>
      </w:r>
      <w:r w:rsidRPr="006C7D80">
        <w:rPr>
          <w:rFonts w:ascii="Nirmala UI Semilight" w:hAnsi="Nirmala UI Semilight" w:cs="Nirmala UI Semilight"/>
          <w:b/>
          <w:bCs/>
        </w:rPr>
        <w:t xml:space="preserve"> - </w:t>
      </w:r>
      <w:r w:rsidRPr="00FE130C">
        <w:rPr>
          <w:rFonts w:ascii="Nirmala UI Semilight" w:hAnsi="Nirmala UI Semilight" w:cs="Nirmala UI Semilight"/>
          <w:b/>
          <w:bCs/>
        </w:rPr>
        <w:t xml:space="preserve">Next Steps </w:t>
      </w:r>
    </w:p>
    <w:p w14:paraId="51A596A5" w14:textId="77777777" w:rsidR="008130CE" w:rsidRPr="00150A6B" w:rsidRDefault="008130CE" w:rsidP="008130CE">
      <w:pPr>
        <w:pStyle w:val="ListParagraph"/>
        <w:numPr>
          <w:ilvl w:val="1"/>
          <w:numId w:val="22"/>
        </w:numPr>
        <w:spacing w:after="0" w:line="240" w:lineRule="exact"/>
        <w:jc w:val="left"/>
        <w:textAlignment w:val="baseline"/>
        <w:rPr>
          <w:rFonts w:ascii="Nirmala UI Semilight" w:hAnsi="Nirmala UI Semilight" w:cs="Nirmala UI Semilight"/>
          <w:iCs/>
        </w:rPr>
      </w:pPr>
      <w:r>
        <w:rPr>
          <w:rFonts w:ascii="Nirmala UI Semilight" w:hAnsi="Nirmala UI Semilight" w:cs="Nirmala UI Semilight"/>
        </w:rPr>
        <w:t>2025 Workplan Development</w:t>
      </w:r>
    </w:p>
    <w:p w14:paraId="58912676" w14:textId="77777777" w:rsidR="008130CE" w:rsidRPr="00056A39" w:rsidRDefault="008130CE" w:rsidP="008130CE">
      <w:pPr>
        <w:pStyle w:val="ListParagraph"/>
        <w:numPr>
          <w:ilvl w:val="2"/>
          <w:numId w:val="22"/>
        </w:numPr>
        <w:spacing w:after="0" w:line="240" w:lineRule="exact"/>
        <w:jc w:val="left"/>
        <w:textAlignment w:val="baseline"/>
        <w:rPr>
          <w:rFonts w:ascii="Nirmala UI Semilight" w:hAnsi="Nirmala UI Semilight" w:cs="Nirmala UI Semilight"/>
          <w:iCs/>
        </w:rPr>
      </w:pPr>
      <w:r>
        <w:rPr>
          <w:rFonts w:ascii="Nirmala UI Semilight" w:hAnsi="Nirmala UI Semilight" w:cs="Nirmala UI Semilight"/>
        </w:rPr>
        <w:t>February 1st - February 15</w:t>
      </w:r>
      <w:proofErr w:type="gramStart"/>
      <w:r w:rsidRPr="00056A39">
        <w:rPr>
          <w:rFonts w:ascii="Nirmala UI Semilight" w:hAnsi="Nirmala UI Semilight" w:cs="Nirmala UI Semilight"/>
          <w:vertAlign w:val="superscript"/>
        </w:rPr>
        <w:t>th</w:t>
      </w:r>
      <w:r>
        <w:rPr>
          <w:rFonts w:ascii="Nirmala UI Semilight" w:hAnsi="Nirmala UI Semilight" w:cs="Nirmala UI Semilight"/>
          <w:vertAlign w:val="superscript"/>
        </w:rPr>
        <w:t xml:space="preserve"> </w:t>
      </w:r>
      <w:r>
        <w:rPr>
          <w:rFonts w:ascii="Nirmala UI Semilight" w:hAnsi="Nirmala UI Semilight" w:cs="Nirmala UI Semilight"/>
        </w:rPr>
        <w:t>:</w:t>
      </w:r>
      <w:proofErr w:type="gramEnd"/>
      <w:r>
        <w:rPr>
          <w:rFonts w:ascii="Nirmala UI Semilight" w:hAnsi="Nirmala UI Semilight" w:cs="Nirmala UI Semilight"/>
        </w:rPr>
        <w:t xml:space="preserve"> WPP/SPP detailed Concept Level of Effort Review</w:t>
      </w:r>
    </w:p>
    <w:p w14:paraId="537D53A2" w14:textId="77777777" w:rsidR="008130CE" w:rsidRPr="000F0E2F" w:rsidRDefault="008130CE" w:rsidP="008130CE">
      <w:pPr>
        <w:pStyle w:val="ListParagraph"/>
        <w:numPr>
          <w:ilvl w:val="2"/>
          <w:numId w:val="22"/>
        </w:numPr>
        <w:spacing w:after="0" w:line="240" w:lineRule="exact"/>
        <w:jc w:val="left"/>
        <w:textAlignment w:val="baseline"/>
        <w:rPr>
          <w:rFonts w:ascii="Nirmala UI Semilight" w:hAnsi="Nirmala UI Semilight" w:cs="Nirmala UI Semilight"/>
          <w:iCs/>
        </w:rPr>
      </w:pPr>
      <w:r>
        <w:rPr>
          <w:rFonts w:ascii="Nirmala UI Semilight" w:hAnsi="Nirmala UI Semilight" w:cs="Nirmala UI Semilight"/>
        </w:rPr>
        <w:t>February 15</w:t>
      </w:r>
      <w:r w:rsidRPr="0053154A">
        <w:rPr>
          <w:rFonts w:ascii="Nirmala UI Semilight" w:hAnsi="Nirmala UI Semilight" w:cs="Nirmala UI Semilight"/>
          <w:vertAlign w:val="superscript"/>
        </w:rPr>
        <w:t>th</w:t>
      </w:r>
      <w:r>
        <w:rPr>
          <w:rFonts w:ascii="Nirmala UI Semilight" w:hAnsi="Nirmala UI Semilight" w:cs="Nirmala UI Semilight"/>
        </w:rPr>
        <w:t xml:space="preserve"> - March 15</w:t>
      </w:r>
      <w:r w:rsidRPr="000F0E2F">
        <w:rPr>
          <w:rFonts w:ascii="Nirmala UI Semilight" w:hAnsi="Nirmala UI Semilight" w:cs="Nirmala UI Semilight"/>
          <w:vertAlign w:val="superscript"/>
        </w:rPr>
        <w:t>th</w:t>
      </w:r>
      <w:r>
        <w:rPr>
          <w:rFonts w:ascii="Nirmala UI Semilight" w:hAnsi="Nirmala UI Semilight" w:cs="Nirmala UI Semilight"/>
        </w:rPr>
        <w:t>: Completion of draft 2025 Workplan</w:t>
      </w:r>
    </w:p>
    <w:p w14:paraId="09FE54BB" w14:textId="77777777" w:rsidR="008130CE" w:rsidRPr="00EA2EF2" w:rsidRDefault="008130CE" w:rsidP="008130CE">
      <w:pPr>
        <w:pStyle w:val="ListParagraph"/>
        <w:numPr>
          <w:ilvl w:val="2"/>
          <w:numId w:val="22"/>
        </w:numPr>
        <w:spacing w:after="0" w:line="240" w:lineRule="exact"/>
        <w:jc w:val="left"/>
        <w:textAlignment w:val="baseline"/>
        <w:rPr>
          <w:rFonts w:ascii="Nirmala UI Semilight" w:hAnsi="Nirmala UI Semilight" w:cs="Nirmala UI Semilight"/>
          <w:iCs/>
        </w:rPr>
      </w:pPr>
      <w:r>
        <w:rPr>
          <w:rFonts w:ascii="Nirmala UI Semilight" w:hAnsi="Nirmala UI Semilight" w:cs="Nirmala UI Semilight"/>
        </w:rPr>
        <w:t>March 15</w:t>
      </w:r>
      <w:r w:rsidRPr="008039EF">
        <w:rPr>
          <w:rFonts w:ascii="Nirmala UI Semilight" w:hAnsi="Nirmala UI Semilight" w:cs="Nirmala UI Semilight"/>
          <w:vertAlign w:val="superscript"/>
        </w:rPr>
        <w:t>th</w:t>
      </w:r>
      <w:r>
        <w:rPr>
          <w:rFonts w:ascii="Nirmala UI Semilight" w:hAnsi="Nirmala UI Semilight" w:cs="Nirmala UI Semilight"/>
        </w:rPr>
        <w:t xml:space="preserve"> – April 15</w:t>
      </w:r>
      <w:r w:rsidRPr="008039EF">
        <w:rPr>
          <w:rFonts w:ascii="Nirmala UI Semilight" w:hAnsi="Nirmala UI Semilight" w:cs="Nirmala UI Semilight"/>
          <w:vertAlign w:val="superscript"/>
        </w:rPr>
        <w:t>th</w:t>
      </w:r>
      <w:r>
        <w:rPr>
          <w:rFonts w:ascii="Nirmala UI Semilight" w:hAnsi="Nirmala UI Semilight" w:cs="Nirmala UI Semilight"/>
        </w:rPr>
        <w:t>: Stakeholder Comment Period</w:t>
      </w:r>
    </w:p>
    <w:p w14:paraId="7D054C77" w14:textId="77777777" w:rsidR="008130CE" w:rsidRPr="004D0567" w:rsidRDefault="008130CE" w:rsidP="008130CE">
      <w:pPr>
        <w:pStyle w:val="ListParagraph"/>
        <w:numPr>
          <w:ilvl w:val="2"/>
          <w:numId w:val="22"/>
        </w:numPr>
        <w:spacing w:after="0" w:line="240" w:lineRule="exact"/>
        <w:jc w:val="left"/>
        <w:textAlignment w:val="baseline"/>
        <w:rPr>
          <w:rFonts w:ascii="Nirmala UI Semilight" w:hAnsi="Nirmala UI Semilight" w:cs="Nirmala UI Semilight"/>
          <w:iCs/>
        </w:rPr>
      </w:pPr>
      <w:r>
        <w:rPr>
          <w:rFonts w:ascii="Nirmala UI Semilight" w:hAnsi="Nirmala UI Semilight" w:cs="Nirmala UI Semilight"/>
        </w:rPr>
        <w:lastRenderedPageBreak/>
        <w:t>April 15</w:t>
      </w:r>
      <w:r w:rsidRPr="001B6736">
        <w:rPr>
          <w:rFonts w:ascii="Nirmala UI Semilight" w:hAnsi="Nirmala UI Semilight" w:cs="Nirmala UI Semilight"/>
          <w:vertAlign w:val="superscript"/>
        </w:rPr>
        <w:t>th</w:t>
      </w:r>
      <w:r>
        <w:rPr>
          <w:rFonts w:ascii="Nirmala UI Semilight" w:hAnsi="Nirmala UI Semilight" w:cs="Nirmala UI Semilight"/>
        </w:rPr>
        <w:t xml:space="preserve"> – May 15</w:t>
      </w:r>
      <w:r w:rsidRPr="001B6736">
        <w:rPr>
          <w:rFonts w:ascii="Nirmala UI Semilight" w:hAnsi="Nirmala UI Semilight" w:cs="Nirmala UI Semilight"/>
          <w:vertAlign w:val="superscript"/>
        </w:rPr>
        <w:t>th</w:t>
      </w:r>
      <w:r>
        <w:rPr>
          <w:rFonts w:ascii="Nirmala UI Semilight" w:hAnsi="Nirmala UI Semilight" w:cs="Nirmala UI Semilight"/>
        </w:rPr>
        <w:t>: Revision of draft 2025 Workplan</w:t>
      </w:r>
    </w:p>
    <w:p w14:paraId="4F537CD2" w14:textId="77777777" w:rsidR="008130CE" w:rsidRPr="00925FBA" w:rsidRDefault="008130CE" w:rsidP="008130CE">
      <w:pPr>
        <w:pStyle w:val="ListParagraph"/>
        <w:numPr>
          <w:ilvl w:val="2"/>
          <w:numId w:val="22"/>
        </w:numPr>
        <w:spacing w:after="0" w:line="240" w:lineRule="exact"/>
        <w:jc w:val="left"/>
        <w:textAlignment w:val="baseline"/>
        <w:rPr>
          <w:rFonts w:ascii="Nirmala UI Semilight" w:hAnsi="Nirmala UI Semilight" w:cs="Nirmala UI Semilight"/>
          <w:iCs/>
        </w:rPr>
      </w:pPr>
      <w:r>
        <w:rPr>
          <w:rFonts w:ascii="Nirmala UI Semilight" w:hAnsi="Nirmala UI Semilight" w:cs="Nirmala UI Semilight"/>
        </w:rPr>
        <w:t>May 15</w:t>
      </w:r>
      <w:proofErr w:type="gramStart"/>
      <w:r w:rsidRPr="004D0567">
        <w:rPr>
          <w:rFonts w:ascii="Nirmala UI Semilight" w:hAnsi="Nirmala UI Semilight" w:cs="Nirmala UI Semilight"/>
          <w:vertAlign w:val="superscript"/>
        </w:rPr>
        <w:t>th</w:t>
      </w:r>
      <w:r>
        <w:rPr>
          <w:rFonts w:ascii="Nirmala UI Semilight" w:hAnsi="Nirmala UI Semilight" w:cs="Nirmala UI Semilight"/>
        </w:rPr>
        <w:t xml:space="preserve"> :</w:t>
      </w:r>
      <w:proofErr w:type="gramEnd"/>
      <w:r>
        <w:rPr>
          <w:rFonts w:ascii="Nirmala UI Semilight" w:hAnsi="Nirmala UI Semilight" w:cs="Nirmala UI Semilight"/>
        </w:rPr>
        <w:t xml:space="preserve"> Distribution of draft 2025 Workplan to Board</w:t>
      </w:r>
    </w:p>
    <w:p w14:paraId="50E86D6A" w14:textId="77777777" w:rsidR="008130CE" w:rsidRPr="0055217F" w:rsidRDefault="008130CE" w:rsidP="008130CE">
      <w:pPr>
        <w:pStyle w:val="ListParagraph"/>
        <w:numPr>
          <w:ilvl w:val="2"/>
          <w:numId w:val="22"/>
        </w:numPr>
        <w:spacing w:after="0" w:line="240" w:lineRule="exact"/>
        <w:jc w:val="left"/>
        <w:textAlignment w:val="baseline"/>
        <w:rPr>
          <w:rFonts w:ascii="Nirmala UI Semilight" w:hAnsi="Nirmala UI Semilight" w:cs="Nirmala UI Semilight"/>
          <w:iCs/>
        </w:rPr>
      </w:pPr>
      <w:r>
        <w:rPr>
          <w:rFonts w:ascii="Nirmala UI Semilight" w:hAnsi="Nirmala UI Semilight" w:cs="Nirmala UI Semilight"/>
        </w:rPr>
        <w:t>June: Board Approval of 2025 Workplan</w:t>
      </w:r>
    </w:p>
    <w:p w14:paraId="7FBA4F46" w14:textId="77777777" w:rsidR="008130CE" w:rsidRPr="002F5BE4" w:rsidRDefault="008130CE" w:rsidP="008130CE">
      <w:pPr>
        <w:pStyle w:val="ListParagraph"/>
        <w:numPr>
          <w:ilvl w:val="1"/>
          <w:numId w:val="22"/>
        </w:numPr>
        <w:spacing w:after="0" w:line="240" w:lineRule="exact"/>
        <w:jc w:val="left"/>
        <w:textAlignment w:val="baseline"/>
        <w:rPr>
          <w:rFonts w:ascii="Nirmala UI Semilight" w:hAnsi="Nirmala UI Semilight" w:cs="Nirmala UI Semilight"/>
          <w:iCs/>
        </w:rPr>
      </w:pPr>
      <w:r>
        <w:rPr>
          <w:rFonts w:ascii="Nirmala UI Semilight" w:hAnsi="Nirmala UI Semilight" w:cs="Nirmala UI Semilight"/>
        </w:rPr>
        <w:t>Next PRC Meeting February 5th</w:t>
      </w:r>
    </w:p>
    <w:p w14:paraId="6EB96009" w14:textId="597C45A5" w:rsidR="009832CC" w:rsidRDefault="009832CC">
      <w:pPr>
        <w:rPr>
          <w:b/>
          <w:bCs/>
        </w:rPr>
      </w:pPr>
      <w:r>
        <w:rPr>
          <w:b/>
          <w:bCs/>
        </w:rPr>
        <w:br w:type="page"/>
      </w:r>
    </w:p>
    <w:p w14:paraId="0F889E91" w14:textId="135A7524" w:rsidR="008130CE" w:rsidRDefault="009832CC" w:rsidP="00203A0F">
      <w:pPr>
        <w:pStyle w:val="Heading1"/>
      </w:pPr>
      <w:bookmarkStart w:id="93" w:name="_Ref191039178"/>
      <w:bookmarkStart w:id="94" w:name="_Toc202176543"/>
      <w:bookmarkStart w:id="95" w:name="_Toc202176722"/>
      <w:r>
        <w:lastRenderedPageBreak/>
        <w:t xml:space="preserve">Appendix </w:t>
      </w:r>
      <w:r w:rsidR="00AA52FB">
        <w:t>D</w:t>
      </w:r>
      <w:r w:rsidR="008064FA">
        <w:t xml:space="preserve"> – </w:t>
      </w:r>
      <w:r w:rsidR="009D49F3">
        <w:t>PRC Minutes Feb.</w:t>
      </w:r>
      <w:r w:rsidR="009D49F3" w:rsidRPr="00543F21">
        <w:t xml:space="preserve"> </w:t>
      </w:r>
      <w:r w:rsidR="009D49F3">
        <w:t>1</w:t>
      </w:r>
      <w:r w:rsidR="002F534D">
        <w:t>9</w:t>
      </w:r>
      <w:r w:rsidR="009D49F3">
        <w:rPr>
          <w:vertAlign w:val="superscript"/>
        </w:rPr>
        <w:t>th</w:t>
      </w:r>
      <w:r w:rsidR="009D49F3" w:rsidRPr="00543F21">
        <w:t>, 202</w:t>
      </w:r>
      <w:r w:rsidR="002F534D">
        <w:t>5</w:t>
      </w:r>
      <w:r w:rsidR="009D49F3" w:rsidRPr="00543F21">
        <w:t xml:space="preserve">; </w:t>
      </w:r>
      <w:r w:rsidR="002F534D">
        <w:t>8:30</w:t>
      </w:r>
      <w:r w:rsidR="009D49F3">
        <w:t>-</w:t>
      </w:r>
      <w:r w:rsidR="009D49F3" w:rsidRPr="00543F21">
        <w:t>1</w:t>
      </w:r>
      <w:r w:rsidR="009D49F3">
        <w:t>0a</w:t>
      </w:r>
      <w:r w:rsidR="009D49F3" w:rsidRPr="00543F21">
        <w:t xml:space="preserve">m </w:t>
      </w:r>
      <w:r w:rsidR="009D49F3">
        <w:t>PT</w:t>
      </w:r>
      <w:bookmarkEnd w:id="93"/>
      <w:bookmarkEnd w:id="94"/>
      <w:bookmarkEnd w:id="95"/>
    </w:p>
    <w:tbl>
      <w:tblPr>
        <w:tblW w:w="917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68"/>
        <w:gridCol w:w="4508"/>
      </w:tblGrid>
      <w:tr w:rsidR="000F672D" w14:paraId="4B7DA82E" w14:textId="77777777" w:rsidTr="000F672D">
        <w:trPr>
          <w:trHeight w:val="278"/>
        </w:trPr>
        <w:tc>
          <w:tcPr>
            <w:tcW w:w="46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E8BFEF" w14:textId="77777777" w:rsidR="000F672D" w:rsidRDefault="000F672D">
            <w:pPr>
              <w:spacing w:after="0" w:line="240" w:lineRule="exact"/>
              <w:rPr>
                <w:rFonts w:ascii="Nirmala UI Semilight" w:eastAsia="Nirmala UI Semilight" w:hAnsi="Nirmala UI Semilight" w:cs="Nirmala UI Semilight"/>
                <w:color w:val="000000" w:themeColor="text1"/>
              </w:rPr>
            </w:pPr>
            <w:r w:rsidRPr="46F76C5B">
              <w:rPr>
                <w:rFonts w:ascii="Nirmala UI Semilight" w:eastAsia="Nirmala UI Semilight" w:hAnsi="Nirmala UI Semilight" w:cs="Nirmala UI Semilight"/>
                <w:b/>
                <w:bCs/>
                <w:color w:val="000000" w:themeColor="text1"/>
              </w:rPr>
              <w:t>Sector</w:t>
            </w:r>
            <w:r w:rsidRPr="46F76C5B">
              <w:rPr>
                <w:rFonts w:ascii="Arial" w:eastAsia="Arial" w:hAnsi="Arial" w:cs="Arial"/>
                <w:b/>
                <w:bCs/>
                <w:color w:val="000000" w:themeColor="text1"/>
              </w:rPr>
              <w:t>       </w:t>
            </w:r>
            <w:r w:rsidRPr="46F76C5B">
              <w:rPr>
                <w:rFonts w:ascii="Nirmala UI Semilight" w:eastAsia="Nirmala UI Semilight" w:hAnsi="Nirmala UI Semilight" w:cs="Nirmala UI Semilight"/>
                <w:b/>
                <w:bCs/>
                <w:color w:val="000000" w:themeColor="text1"/>
              </w:rPr>
              <w:t> </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180B7E" w14:textId="77777777" w:rsidR="000F672D" w:rsidRDefault="000F672D">
            <w:pPr>
              <w:spacing w:after="0" w:line="240" w:lineRule="exact"/>
              <w:rPr>
                <w:rFonts w:ascii="Nirmala UI Semilight" w:eastAsia="Nirmala UI Semilight" w:hAnsi="Nirmala UI Semilight" w:cs="Nirmala UI Semilight"/>
                <w:color w:val="000000" w:themeColor="text1"/>
              </w:rPr>
            </w:pPr>
            <w:r w:rsidRPr="46F76C5B">
              <w:rPr>
                <w:rFonts w:ascii="Nirmala UI Semilight" w:eastAsia="Nirmala UI Semilight" w:hAnsi="Nirmala UI Semilight" w:cs="Nirmala UI Semilight"/>
                <w:b/>
                <w:bCs/>
                <w:color w:val="000000" w:themeColor="text1"/>
              </w:rPr>
              <w:t>Representatives</w:t>
            </w:r>
            <w:r w:rsidRPr="46F76C5B">
              <w:rPr>
                <w:rFonts w:ascii="Arial" w:eastAsia="Arial" w:hAnsi="Arial" w:cs="Arial"/>
                <w:b/>
                <w:bCs/>
                <w:color w:val="000000" w:themeColor="text1"/>
              </w:rPr>
              <w:t> </w:t>
            </w:r>
            <w:r w:rsidRPr="46F76C5B">
              <w:rPr>
                <w:rFonts w:ascii="Nirmala UI Semilight" w:eastAsia="Nirmala UI Semilight" w:hAnsi="Nirmala UI Semilight" w:cs="Nirmala UI Semilight"/>
                <w:b/>
                <w:bCs/>
                <w:color w:val="000000" w:themeColor="text1"/>
              </w:rPr>
              <w:t xml:space="preserve">(bold in </w:t>
            </w:r>
            <w:proofErr w:type="gramStart"/>
            <w:r>
              <w:rPr>
                <w:rFonts w:ascii="Nirmala UI Semilight" w:eastAsia="Nirmala UI Semilight" w:hAnsi="Nirmala UI Semilight" w:cs="Nirmala UI Semilight"/>
                <w:b/>
                <w:bCs/>
                <w:color w:val="000000" w:themeColor="text1"/>
              </w:rPr>
              <w:t>A</w:t>
            </w:r>
            <w:r w:rsidRPr="46F76C5B">
              <w:rPr>
                <w:rFonts w:ascii="Nirmala UI Semilight" w:eastAsia="Nirmala UI Semilight" w:hAnsi="Nirmala UI Semilight" w:cs="Nirmala UI Semilight"/>
                <w:b/>
                <w:bCs/>
                <w:color w:val="000000" w:themeColor="text1"/>
              </w:rPr>
              <w:t>ttendance)</w:t>
            </w:r>
            <w:r w:rsidRPr="46F76C5B">
              <w:rPr>
                <w:rFonts w:ascii="Arial" w:eastAsia="Arial" w:hAnsi="Arial" w:cs="Arial"/>
                <w:b/>
                <w:bCs/>
                <w:color w:val="000000" w:themeColor="text1"/>
              </w:rPr>
              <w:t> </w:t>
            </w:r>
            <w:r w:rsidRPr="46F76C5B">
              <w:rPr>
                <w:rFonts w:ascii="Nirmala UI Semilight" w:eastAsia="Nirmala UI Semilight" w:hAnsi="Nirmala UI Semilight" w:cs="Nirmala UI Semilight"/>
                <w:b/>
                <w:bCs/>
                <w:color w:val="000000" w:themeColor="text1"/>
              </w:rPr>
              <w:t xml:space="preserve"> </w:t>
            </w:r>
            <w:r w:rsidRPr="46F76C5B">
              <w:rPr>
                <w:rFonts w:ascii="Arial" w:eastAsia="Arial" w:hAnsi="Arial" w:cs="Arial"/>
                <w:b/>
                <w:bCs/>
                <w:color w:val="000000" w:themeColor="text1"/>
              </w:rPr>
              <w:t> </w:t>
            </w:r>
            <w:proofErr w:type="gramEnd"/>
            <w:r w:rsidRPr="46F76C5B">
              <w:rPr>
                <w:rFonts w:ascii="Arial" w:eastAsia="Arial" w:hAnsi="Arial" w:cs="Arial"/>
                <w:b/>
                <w:bCs/>
                <w:color w:val="000000" w:themeColor="text1"/>
              </w:rPr>
              <w:t>  </w:t>
            </w:r>
            <w:r w:rsidRPr="46F76C5B">
              <w:rPr>
                <w:rFonts w:ascii="Nirmala UI Semilight" w:eastAsia="Nirmala UI Semilight" w:hAnsi="Nirmala UI Semilight" w:cs="Nirmala UI Semilight"/>
                <w:b/>
                <w:bCs/>
                <w:color w:val="000000" w:themeColor="text1"/>
              </w:rPr>
              <w:t> </w:t>
            </w:r>
          </w:p>
        </w:tc>
      </w:tr>
      <w:tr w:rsidR="000F672D" w14:paraId="7C5A2B94" w14:textId="77777777" w:rsidTr="000F672D">
        <w:trPr>
          <w:trHeight w:val="278"/>
        </w:trPr>
        <w:tc>
          <w:tcPr>
            <w:tcW w:w="46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A9CA86" w14:textId="77777777" w:rsidR="000F672D" w:rsidRDefault="000F672D">
            <w:pPr>
              <w:spacing w:after="0" w:line="240" w:lineRule="exact"/>
              <w:rPr>
                <w:rFonts w:ascii="Nirmala UI Semilight" w:eastAsia="Nirmala UI Semilight" w:hAnsi="Nirmala UI Semilight" w:cs="Nirmala UI Semilight"/>
                <w:color w:val="000000" w:themeColor="text1"/>
              </w:rPr>
            </w:pPr>
            <w:r w:rsidRPr="46F76C5B">
              <w:rPr>
                <w:rFonts w:ascii="Nirmala UI Semilight" w:eastAsia="Nirmala UI Semilight" w:hAnsi="Nirmala UI Semilight" w:cs="Nirmala UI Semilight"/>
                <w:color w:val="000000" w:themeColor="text1"/>
              </w:rPr>
              <w:t>RAPC/Participant Investor-owned Utilities (</w:t>
            </w:r>
            <w:proofErr w:type="gramStart"/>
            <w:r w:rsidRPr="46F76C5B">
              <w:rPr>
                <w:rFonts w:ascii="Nirmala UI Semilight" w:eastAsia="Nirmala UI Semilight" w:hAnsi="Nirmala UI Semilight" w:cs="Nirmala UI Semilight"/>
                <w:color w:val="000000" w:themeColor="text1"/>
              </w:rPr>
              <w:t>IOUs)</w:t>
            </w:r>
            <w:r w:rsidRPr="46F76C5B">
              <w:rPr>
                <w:rFonts w:ascii="Arial" w:eastAsia="Arial" w:hAnsi="Arial" w:cs="Arial"/>
                <w:color w:val="000000" w:themeColor="text1"/>
              </w:rPr>
              <w:t> </w:t>
            </w:r>
            <w:r w:rsidRPr="46F76C5B">
              <w:rPr>
                <w:rFonts w:ascii="Nirmala UI Semilight" w:eastAsia="Nirmala UI Semilight" w:hAnsi="Nirmala UI Semilight" w:cs="Nirmala UI Semilight"/>
                <w:color w:val="000000" w:themeColor="text1"/>
              </w:rPr>
              <w:t xml:space="preserve"> </w:t>
            </w:r>
            <w:r w:rsidRPr="46F76C5B">
              <w:rPr>
                <w:rFonts w:ascii="Arial" w:eastAsia="Arial" w:hAnsi="Arial" w:cs="Arial"/>
                <w:color w:val="000000" w:themeColor="text1"/>
              </w:rPr>
              <w:t> </w:t>
            </w:r>
            <w:proofErr w:type="gramEnd"/>
            <w:r w:rsidRPr="46F76C5B">
              <w:rPr>
                <w:rFonts w:ascii="Arial" w:eastAsia="Arial" w:hAnsi="Arial" w:cs="Arial"/>
                <w:color w:val="000000" w:themeColor="text1"/>
              </w:rPr>
              <w:t>   </w:t>
            </w:r>
            <w:r w:rsidRPr="46F76C5B">
              <w:rPr>
                <w:rFonts w:ascii="Nirmala UI Semilight" w:eastAsia="Nirmala UI Semilight" w:hAnsi="Nirmala UI Semilight" w:cs="Nirmala UI Semilight"/>
                <w:color w:val="000000" w:themeColor="text1"/>
              </w:rPr>
              <w:t> </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CB3A0A" w14:textId="77777777" w:rsidR="000F672D" w:rsidRDefault="000F672D" w:rsidP="00C41AFE">
            <w:pPr>
              <w:pStyle w:val="ListParagraph"/>
              <w:numPr>
                <w:ilvl w:val="0"/>
                <w:numId w:val="74"/>
              </w:numPr>
              <w:spacing w:after="0" w:line="240" w:lineRule="exact"/>
              <w:jc w:val="left"/>
              <w:rPr>
                <w:rFonts w:ascii="Nirmala UI Semilight" w:eastAsia="Nirmala UI Semilight" w:hAnsi="Nirmala UI Semilight" w:cs="Nirmala UI Semilight"/>
                <w:color w:val="000000" w:themeColor="text1"/>
              </w:rPr>
            </w:pPr>
            <w:r w:rsidRPr="46F76C5B">
              <w:rPr>
                <w:rFonts w:ascii="Nirmala UI Semilight" w:eastAsia="Nirmala UI Semilight" w:hAnsi="Nirmala UI Semilight" w:cs="Nirmala UI Semilight"/>
                <w:color w:val="000000" w:themeColor="text1"/>
              </w:rPr>
              <w:t>Phil Haines</w:t>
            </w:r>
            <w:r w:rsidRPr="46F76C5B">
              <w:rPr>
                <w:rFonts w:ascii="Arial" w:eastAsia="Arial" w:hAnsi="Arial" w:cs="Arial"/>
                <w:color w:val="000000" w:themeColor="text1"/>
              </w:rPr>
              <w:t> </w:t>
            </w:r>
            <w:r w:rsidRPr="46F76C5B">
              <w:rPr>
                <w:rFonts w:ascii="Nirmala UI Semilight" w:eastAsia="Nirmala UI Semilight" w:hAnsi="Nirmala UI Semilight" w:cs="Nirmala UI Semilight"/>
                <w:color w:val="000000" w:themeColor="text1"/>
              </w:rPr>
              <w:t>(</w:t>
            </w:r>
            <w:r w:rsidRPr="008E48F0">
              <w:rPr>
                <w:rFonts w:ascii="Nirmala UI Semilight" w:eastAsia="Nirmala UI Semilight" w:hAnsi="Nirmala UI Semilight" w:cs="Nirmala UI Semilight"/>
                <w:b/>
                <w:bCs/>
                <w:color w:val="000000" w:themeColor="text1"/>
              </w:rPr>
              <w:t>Sachi Begur as alternate</w:t>
            </w:r>
            <w:r w:rsidRPr="46F76C5B">
              <w:rPr>
                <w:rFonts w:ascii="Nirmala UI Semilight" w:eastAsia="Nirmala UI Semilight" w:hAnsi="Nirmala UI Semilight" w:cs="Nirmala UI Semilight"/>
                <w:color w:val="000000" w:themeColor="text1"/>
              </w:rPr>
              <w:t>)</w:t>
            </w:r>
            <w:r w:rsidRPr="46F76C5B">
              <w:rPr>
                <w:rFonts w:ascii="Arial" w:eastAsia="Arial" w:hAnsi="Arial" w:cs="Arial"/>
                <w:color w:val="000000" w:themeColor="text1"/>
              </w:rPr>
              <w:t>   </w:t>
            </w:r>
            <w:r w:rsidRPr="46F76C5B">
              <w:rPr>
                <w:rFonts w:ascii="Nirmala UI Semilight" w:eastAsia="Nirmala UI Semilight" w:hAnsi="Nirmala UI Semilight" w:cs="Nirmala UI Semilight"/>
                <w:color w:val="000000" w:themeColor="text1"/>
              </w:rPr>
              <w:t> </w:t>
            </w:r>
          </w:p>
          <w:p w14:paraId="097E76CA" w14:textId="77777777" w:rsidR="000F672D" w:rsidRPr="008E48F0" w:rsidRDefault="000F672D" w:rsidP="00C41AFE">
            <w:pPr>
              <w:pStyle w:val="ListParagraph"/>
              <w:numPr>
                <w:ilvl w:val="0"/>
                <w:numId w:val="73"/>
              </w:numPr>
              <w:spacing w:after="0" w:line="240" w:lineRule="exact"/>
              <w:jc w:val="left"/>
              <w:rPr>
                <w:rFonts w:ascii="Nirmala UI Semilight" w:eastAsia="Nirmala UI Semilight" w:hAnsi="Nirmala UI Semilight" w:cs="Nirmala UI Semilight"/>
                <w:color w:val="000000" w:themeColor="text1"/>
              </w:rPr>
            </w:pPr>
            <w:r w:rsidRPr="008E48F0">
              <w:rPr>
                <w:rFonts w:ascii="Nirmala UI Semilight" w:eastAsia="Nirmala UI Semilight" w:hAnsi="Nirmala UI Semilight" w:cs="Nirmala UI Semilight"/>
                <w:b/>
                <w:bCs/>
                <w:color w:val="000000" w:themeColor="text1"/>
              </w:rPr>
              <w:t>Camille Christen</w:t>
            </w:r>
            <w:r w:rsidRPr="008E48F0">
              <w:rPr>
                <w:rFonts w:ascii="Arial" w:eastAsia="Arial" w:hAnsi="Arial" w:cs="Arial"/>
                <w:b/>
                <w:bCs/>
                <w:color w:val="000000" w:themeColor="text1"/>
              </w:rPr>
              <w:t>     </w:t>
            </w:r>
            <w:r w:rsidRPr="008E48F0">
              <w:rPr>
                <w:rFonts w:ascii="Nirmala UI Semilight" w:eastAsia="Nirmala UI Semilight" w:hAnsi="Nirmala UI Semilight" w:cs="Nirmala UI Semilight"/>
                <w:color w:val="000000" w:themeColor="text1"/>
              </w:rPr>
              <w:t>  </w:t>
            </w:r>
          </w:p>
          <w:p w14:paraId="539FDF1A" w14:textId="77777777" w:rsidR="000F672D" w:rsidRDefault="000F672D" w:rsidP="00C41AFE">
            <w:pPr>
              <w:pStyle w:val="ListParagraph"/>
              <w:numPr>
                <w:ilvl w:val="0"/>
                <w:numId w:val="72"/>
              </w:numPr>
              <w:spacing w:after="0" w:line="240" w:lineRule="exact"/>
              <w:jc w:val="left"/>
              <w:rPr>
                <w:rFonts w:ascii="Nirmala UI Semilight" w:eastAsia="Nirmala UI Semilight" w:hAnsi="Nirmala UI Semilight" w:cs="Nirmala UI Semilight"/>
                <w:color w:val="000000" w:themeColor="text1"/>
              </w:rPr>
            </w:pPr>
            <w:r w:rsidRPr="008E48F0">
              <w:rPr>
                <w:rFonts w:ascii="Nirmala UI Semilight" w:eastAsia="Nirmala UI Semilight" w:hAnsi="Nirmala UI Semilight" w:cs="Nirmala UI Semilight"/>
                <w:b/>
                <w:bCs/>
                <w:color w:val="000000" w:themeColor="text1"/>
              </w:rPr>
              <w:t>Lindsey Schlekeway</w:t>
            </w:r>
            <w:r w:rsidRPr="46F76C5B">
              <w:rPr>
                <w:rFonts w:ascii="Nirmala UI Semilight" w:eastAsia="Nirmala UI Semilight" w:hAnsi="Nirmala UI Semilight" w:cs="Nirmala UI Semilight"/>
                <w:color w:val="000000" w:themeColor="text1"/>
              </w:rPr>
              <w:t xml:space="preserve"> (Rodger Manzano as proxy)</w:t>
            </w:r>
            <w:r w:rsidRPr="46F76C5B">
              <w:rPr>
                <w:rFonts w:ascii="Arial" w:eastAsia="Arial" w:hAnsi="Arial" w:cs="Arial"/>
                <w:color w:val="000000" w:themeColor="text1"/>
              </w:rPr>
              <w:t>  </w:t>
            </w:r>
            <w:r w:rsidRPr="46F76C5B">
              <w:rPr>
                <w:rFonts w:ascii="Nirmala UI Semilight" w:eastAsia="Nirmala UI Semilight" w:hAnsi="Nirmala UI Semilight" w:cs="Nirmala UI Semilight"/>
                <w:color w:val="000000" w:themeColor="text1"/>
              </w:rPr>
              <w:t> </w:t>
            </w:r>
          </w:p>
          <w:p w14:paraId="373EB95E" w14:textId="77777777" w:rsidR="000F672D" w:rsidRPr="008E48F0" w:rsidRDefault="000F672D" w:rsidP="00C41AFE">
            <w:pPr>
              <w:pStyle w:val="ListParagraph"/>
              <w:numPr>
                <w:ilvl w:val="0"/>
                <w:numId w:val="71"/>
              </w:numPr>
              <w:spacing w:after="0" w:line="240" w:lineRule="exact"/>
              <w:jc w:val="left"/>
              <w:rPr>
                <w:rFonts w:ascii="Nirmala UI Semilight" w:eastAsia="Nirmala UI Semilight" w:hAnsi="Nirmala UI Semilight" w:cs="Nirmala UI Semilight"/>
                <w:b/>
                <w:bCs/>
                <w:color w:val="000000" w:themeColor="text1"/>
              </w:rPr>
            </w:pPr>
            <w:r w:rsidRPr="008E48F0">
              <w:rPr>
                <w:rFonts w:ascii="Nirmala UI Semilight" w:eastAsia="Nirmala UI Semilight" w:hAnsi="Nirmala UI Semilight" w:cs="Nirmala UI Semilight"/>
                <w:b/>
                <w:bCs/>
                <w:color w:val="000000" w:themeColor="text1"/>
              </w:rPr>
              <w:t>Mike Goodenough</w:t>
            </w:r>
            <w:r w:rsidRPr="008E48F0">
              <w:rPr>
                <w:rFonts w:ascii="Arial" w:eastAsia="Arial" w:hAnsi="Arial" w:cs="Arial"/>
                <w:b/>
                <w:bCs/>
                <w:color w:val="000000" w:themeColor="text1"/>
              </w:rPr>
              <w:t>       </w:t>
            </w:r>
            <w:r w:rsidRPr="008E48F0">
              <w:rPr>
                <w:rFonts w:ascii="Nirmala UI Semilight" w:eastAsia="Nirmala UI Semilight" w:hAnsi="Nirmala UI Semilight" w:cs="Nirmala UI Semilight"/>
                <w:b/>
                <w:bCs/>
                <w:color w:val="000000" w:themeColor="text1"/>
              </w:rPr>
              <w:t> </w:t>
            </w:r>
          </w:p>
        </w:tc>
      </w:tr>
      <w:tr w:rsidR="000F672D" w14:paraId="1B0FC511" w14:textId="77777777" w:rsidTr="000F672D">
        <w:trPr>
          <w:trHeight w:val="278"/>
        </w:trPr>
        <w:tc>
          <w:tcPr>
            <w:tcW w:w="46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46C434" w14:textId="77777777" w:rsidR="000F672D" w:rsidRDefault="000F672D">
            <w:pPr>
              <w:spacing w:after="0" w:line="240" w:lineRule="exact"/>
              <w:rPr>
                <w:rFonts w:ascii="Nirmala UI Semilight" w:eastAsia="Nirmala UI Semilight" w:hAnsi="Nirmala UI Semilight" w:cs="Nirmala UI Semilight"/>
                <w:color w:val="000000" w:themeColor="text1"/>
              </w:rPr>
            </w:pPr>
            <w:r w:rsidRPr="46F76C5B">
              <w:rPr>
                <w:rFonts w:ascii="Nirmala UI Semilight" w:eastAsia="Nirmala UI Semilight" w:hAnsi="Nirmala UI Semilight" w:cs="Nirmala UI Semilight"/>
                <w:color w:val="000000" w:themeColor="text1"/>
              </w:rPr>
              <w:t>RAPC/Participant Publicly-owned utilities (</w:t>
            </w:r>
            <w:proofErr w:type="gramStart"/>
            <w:r w:rsidRPr="46F76C5B">
              <w:rPr>
                <w:rFonts w:ascii="Nirmala UI Semilight" w:eastAsia="Nirmala UI Semilight" w:hAnsi="Nirmala UI Semilight" w:cs="Nirmala UI Semilight"/>
                <w:color w:val="000000" w:themeColor="text1"/>
              </w:rPr>
              <w:t>POUs)</w:t>
            </w:r>
            <w:r w:rsidRPr="46F76C5B">
              <w:rPr>
                <w:rFonts w:ascii="Arial" w:eastAsia="Arial" w:hAnsi="Arial" w:cs="Arial"/>
                <w:color w:val="000000" w:themeColor="text1"/>
              </w:rPr>
              <w:t> </w:t>
            </w:r>
            <w:r w:rsidRPr="46F76C5B">
              <w:rPr>
                <w:rFonts w:ascii="Nirmala UI Semilight" w:eastAsia="Nirmala UI Semilight" w:hAnsi="Nirmala UI Semilight" w:cs="Nirmala UI Semilight"/>
                <w:color w:val="000000" w:themeColor="text1"/>
              </w:rPr>
              <w:t xml:space="preserve"> </w:t>
            </w:r>
            <w:r w:rsidRPr="46F76C5B">
              <w:rPr>
                <w:rFonts w:ascii="Arial" w:eastAsia="Arial" w:hAnsi="Arial" w:cs="Arial"/>
                <w:color w:val="000000" w:themeColor="text1"/>
              </w:rPr>
              <w:t> </w:t>
            </w:r>
            <w:proofErr w:type="gramEnd"/>
            <w:r w:rsidRPr="46F76C5B">
              <w:rPr>
                <w:rFonts w:ascii="Arial" w:eastAsia="Arial" w:hAnsi="Arial" w:cs="Arial"/>
                <w:color w:val="000000" w:themeColor="text1"/>
              </w:rPr>
              <w:t>   </w:t>
            </w:r>
            <w:r w:rsidRPr="46F76C5B">
              <w:rPr>
                <w:rFonts w:ascii="Nirmala UI Semilight" w:eastAsia="Nirmala UI Semilight" w:hAnsi="Nirmala UI Semilight" w:cs="Nirmala UI Semilight"/>
                <w:color w:val="000000" w:themeColor="text1"/>
              </w:rPr>
              <w:t> </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E1C70B" w14:textId="77777777" w:rsidR="000F672D" w:rsidRDefault="000F672D" w:rsidP="00C41AFE">
            <w:pPr>
              <w:pStyle w:val="ListParagraph"/>
              <w:numPr>
                <w:ilvl w:val="0"/>
                <w:numId w:val="70"/>
              </w:numPr>
              <w:spacing w:after="0" w:line="240" w:lineRule="exact"/>
              <w:jc w:val="left"/>
              <w:rPr>
                <w:rFonts w:ascii="Nirmala UI Semilight" w:eastAsia="Nirmala UI Semilight" w:hAnsi="Nirmala UI Semilight" w:cs="Nirmala UI Semilight"/>
                <w:color w:val="000000" w:themeColor="text1"/>
              </w:rPr>
            </w:pPr>
            <w:r w:rsidRPr="008E48F0">
              <w:rPr>
                <w:rFonts w:ascii="Nirmala UI Semilight" w:eastAsia="Nirmala UI Semilight" w:hAnsi="Nirmala UI Semilight" w:cs="Nirmala UI Semilight"/>
                <w:b/>
                <w:bCs/>
                <w:color w:val="000000" w:themeColor="text1"/>
              </w:rPr>
              <w:t>Michael Reynolds</w:t>
            </w:r>
            <w:r w:rsidRPr="46F76C5B">
              <w:rPr>
                <w:rFonts w:ascii="Nirmala UI Semilight" w:eastAsia="Nirmala UI Semilight" w:hAnsi="Nirmala UI Semilight" w:cs="Nirmala UI Semilight"/>
                <w:color w:val="000000" w:themeColor="text1"/>
              </w:rPr>
              <w:t xml:space="preserve"> (Jerret Fischer as proxy)</w:t>
            </w:r>
            <w:r w:rsidRPr="46F76C5B">
              <w:rPr>
                <w:rFonts w:ascii="Arial" w:eastAsia="Arial" w:hAnsi="Arial" w:cs="Arial"/>
                <w:color w:val="000000" w:themeColor="text1"/>
              </w:rPr>
              <w:t>  </w:t>
            </w:r>
            <w:r w:rsidRPr="46F76C5B">
              <w:rPr>
                <w:rFonts w:ascii="Nirmala UI Semilight" w:eastAsia="Nirmala UI Semilight" w:hAnsi="Nirmala UI Semilight" w:cs="Nirmala UI Semilight"/>
                <w:color w:val="000000" w:themeColor="text1"/>
              </w:rPr>
              <w:t> </w:t>
            </w:r>
          </w:p>
          <w:p w14:paraId="2B9DEE21" w14:textId="77777777" w:rsidR="000F672D" w:rsidRDefault="000F672D" w:rsidP="00C41AFE">
            <w:pPr>
              <w:pStyle w:val="ListParagraph"/>
              <w:numPr>
                <w:ilvl w:val="0"/>
                <w:numId w:val="69"/>
              </w:numPr>
              <w:spacing w:after="0" w:line="240" w:lineRule="exact"/>
              <w:jc w:val="left"/>
              <w:rPr>
                <w:rFonts w:ascii="Nirmala UI Semilight" w:eastAsia="Nirmala UI Semilight" w:hAnsi="Nirmala UI Semilight" w:cs="Nirmala UI Semilight"/>
                <w:color w:val="000000" w:themeColor="text1"/>
              </w:rPr>
            </w:pPr>
            <w:r w:rsidRPr="008E48F0">
              <w:rPr>
                <w:rFonts w:ascii="Nirmala UI Semilight" w:eastAsia="Nirmala UI Semilight" w:hAnsi="Nirmala UI Semilight" w:cs="Nirmala UI Semilight"/>
                <w:b/>
                <w:bCs/>
                <w:color w:val="000000" w:themeColor="text1"/>
              </w:rPr>
              <w:t>Ray Johnson</w:t>
            </w:r>
            <w:r w:rsidRPr="46F76C5B">
              <w:rPr>
                <w:rFonts w:ascii="Nirmala UI Semilight" w:eastAsia="Nirmala UI Semilight" w:hAnsi="Nirmala UI Semilight" w:cs="Nirmala UI Semilight"/>
                <w:color w:val="000000" w:themeColor="text1"/>
              </w:rPr>
              <w:t xml:space="preserve"> (Leah Marquez-Glynn</w:t>
            </w:r>
            <w:r w:rsidRPr="46F76C5B">
              <w:rPr>
                <w:rFonts w:ascii="Nirmala UI Semilight" w:eastAsia="Nirmala UI Semilight" w:hAnsi="Nirmala UI Semilight" w:cs="Nirmala UI Semilight"/>
                <w:i/>
                <w:iCs/>
                <w:color w:val="000000" w:themeColor="text1"/>
              </w:rPr>
              <w:t xml:space="preserve"> </w:t>
            </w:r>
            <w:r w:rsidRPr="46F76C5B">
              <w:rPr>
                <w:rFonts w:ascii="Nirmala UI Semilight" w:eastAsia="Nirmala UI Semilight" w:hAnsi="Nirmala UI Semilight" w:cs="Nirmala UI Semilight"/>
                <w:color w:val="000000" w:themeColor="text1"/>
              </w:rPr>
              <w:t>as proxy)</w:t>
            </w:r>
            <w:r w:rsidRPr="46F76C5B">
              <w:rPr>
                <w:rFonts w:ascii="Arial" w:eastAsia="Arial" w:hAnsi="Arial" w:cs="Arial"/>
                <w:color w:val="000000" w:themeColor="text1"/>
              </w:rPr>
              <w:t>  </w:t>
            </w:r>
            <w:r w:rsidRPr="46F76C5B">
              <w:rPr>
                <w:rFonts w:ascii="Nirmala UI Semilight" w:eastAsia="Nirmala UI Semilight" w:hAnsi="Nirmala UI Semilight" w:cs="Nirmala UI Semilight"/>
                <w:color w:val="000000" w:themeColor="text1"/>
              </w:rPr>
              <w:t> </w:t>
            </w:r>
          </w:p>
          <w:p w14:paraId="64C528A6" w14:textId="77777777" w:rsidR="000F672D" w:rsidRDefault="000F672D" w:rsidP="00C41AFE">
            <w:pPr>
              <w:pStyle w:val="ListParagraph"/>
              <w:numPr>
                <w:ilvl w:val="0"/>
                <w:numId w:val="68"/>
              </w:numPr>
              <w:spacing w:after="0" w:line="240" w:lineRule="exact"/>
              <w:jc w:val="left"/>
              <w:rPr>
                <w:rFonts w:ascii="Nirmala UI Semilight" w:eastAsia="Nirmala UI Semilight" w:hAnsi="Nirmala UI Semilight" w:cs="Nirmala UI Semilight"/>
                <w:color w:val="000000" w:themeColor="text1"/>
              </w:rPr>
            </w:pPr>
            <w:r w:rsidRPr="46F76C5B">
              <w:rPr>
                <w:rFonts w:ascii="Nirmala UI Semilight" w:eastAsia="Nirmala UI Semilight" w:hAnsi="Nirmala UI Semilight" w:cs="Nirmala UI Semilight"/>
                <w:color w:val="000000" w:themeColor="text1"/>
              </w:rPr>
              <w:t>Garrison Marr</w:t>
            </w:r>
            <w:r w:rsidRPr="46F76C5B">
              <w:rPr>
                <w:rFonts w:ascii="Arial" w:eastAsia="Arial" w:hAnsi="Arial" w:cs="Arial"/>
                <w:color w:val="000000" w:themeColor="text1"/>
              </w:rPr>
              <w:t>   </w:t>
            </w:r>
            <w:r w:rsidRPr="46F76C5B">
              <w:rPr>
                <w:rFonts w:ascii="Nirmala UI Semilight" w:eastAsia="Nirmala UI Semilight" w:hAnsi="Nirmala UI Semilight" w:cs="Nirmala UI Semilight"/>
                <w:color w:val="000000" w:themeColor="text1"/>
              </w:rPr>
              <w:t> </w:t>
            </w:r>
          </w:p>
          <w:p w14:paraId="7AB55F23" w14:textId="77777777" w:rsidR="000F672D" w:rsidRPr="008E48F0" w:rsidRDefault="000F672D" w:rsidP="00C41AFE">
            <w:pPr>
              <w:pStyle w:val="ListParagraph"/>
              <w:numPr>
                <w:ilvl w:val="0"/>
                <w:numId w:val="67"/>
              </w:numPr>
              <w:spacing w:after="0" w:line="240" w:lineRule="exact"/>
              <w:jc w:val="left"/>
              <w:rPr>
                <w:rFonts w:ascii="Nirmala UI Semilight" w:eastAsia="Nirmala UI Semilight" w:hAnsi="Nirmala UI Semilight" w:cs="Nirmala UI Semilight"/>
                <w:b/>
                <w:bCs/>
                <w:color w:val="000000" w:themeColor="text1"/>
              </w:rPr>
            </w:pPr>
            <w:r w:rsidRPr="008E48F0">
              <w:rPr>
                <w:rFonts w:ascii="Nirmala UI Semilight" w:eastAsia="Nirmala UI Semilight" w:hAnsi="Nirmala UI Semilight" w:cs="Nirmala UI Semilight"/>
                <w:b/>
                <w:bCs/>
                <w:color w:val="000000" w:themeColor="text1"/>
              </w:rPr>
              <w:t>Mike Bradshaw</w:t>
            </w:r>
            <w:r w:rsidRPr="008E48F0">
              <w:rPr>
                <w:rFonts w:ascii="Arial" w:eastAsia="Arial" w:hAnsi="Arial" w:cs="Arial"/>
                <w:b/>
                <w:bCs/>
                <w:color w:val="000000" w:themeColor="text1"/>
              </w:rPr>
              <w:t> </w:t>
            </w:r>
            <w:r w:rsidRPr="008E48F0">
              <w:rPr>
                <w:rFonts w:ascii="Nirmala UI Semilight" w:eastAsia="Nirmala UI Semilight" w:hAnsi="Nirmala UI Semilight" w:cs="Nirmala UI Semilight"/>
                <w:b/>
                <w:bCs/>
                <w:color w:val="000000" w:themeColor="text1"/>
              </w:rPr>
              <w:t> </w:t>
            </w:r>
          </w:p>
        </w:tc>
      </w:tr>
      <w:tr w:rsidR="000F672D" w14:paraId="63C6D241" w14:textId="77777777" w:rsidTr="000F672D">
        <w:trPr>
          <w:trHeight w:val="278"/>
        </w:trPr>
        <w:tc>
          <w:tcPr>
            <w:tcW w:w="46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07E0B0" w14:textId="77777777" w:rsidR="000F672D" w:rsidRDefault="000F672D">
            <w:pPr>
              <w:spacing w:after="0" w:line="240" w:lineRule="exact"/>
              <w:rPr>
                <w:rFonts w:ascii="Nirmala UI Semilight" w:eastAsia="Nirmala UI Semilight" w:hAnsi="Nirmala UI Semilight" w:cs="Nirmala UI Semilight"/>
                <w:color w:val="000000" w:themeColor="text1"/>
              </w:rPr>
            </w:pPr>
            <w:r w:rsidRPr="46F76C5B">
              <w:rPr>
                <w:rFonts w:ascii="Nirmala UI Semilight" w:eastAsia="Nirmala UI Semilight" w:hAnsi="Nirmala UI Semilight" w:cs="Nirmala UI Semilight"/>
                <w:color w:val="000000" w:themeColor="text1"/>
              </w:rPr>
              <w:t>RAPC/Participant Retail Competition Load Responsible Entity (</w:t>
            </w:r>
            <w:proofErr w:type="gramStart"/>
            <w:r w:rsidRPr="46F76C5B">
              <w:rPr>
                <w:rFonts w:ascii="Nirmala UI Semilight" w:eastAsia="Nirmala UI Semilight" w:hAnsi="Nirmala UI Semilight" w:cs="Nirmala UI Semilight"/>
                <w:color w:val="000000" w:themeColor="text1"/>
              </w:rPr>
              <w:t>LRE)</w:t>
            </w:r>
            <w:r w:rsidRPr="46F76C5B">
              <w:rPr>
                <w:rFonts w:ascii="Arial" w:eastAsia="Arial" w:hAnsi="Arial" w:cs="Arial"/>
                <w:color w:val="000000" w:themeColor="text1"/>
              </w:rPr>
              <w:t>   </w:t>
            </w:r>
            <w:proofErr w:type="gramEnd"/>
            <w:r w:rsidRPr="46F76C5B">
              <w:rPr>
                <w:rFonts w:ascii="Arial" w:eastAsia="Arial" w:hAnsi="Arial" w:cs="Arial"/>
                <w:color w:val="000000" w:themeColor="text1"/>
              </w:rPr>
              <w:t>    </w:t>
            </w:r>
            <w:r w:rsidRPr="46F76C5B">
              <w:rPr>
                <w:rFonts w:ascii="Nirmala UI Semilight" w:eastAsia="Nirmala UI Semilight" w:hAnsi="Nirmala UI Semilight" w:cs="Nirmala UI Semilight"/>
                <w:color w:val="000000" w:themeColor="text1"/>
              </w:rPr>
              <w:t> </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438CAB" w14:textId="77777777" w:rsidR="000F672D" w:rsidRDefault="000F672D" w:rsidP="00C41AFE">
            <w:pPr>
              <w:pStyle w:val="ListParagraph"/>
              <w:numPr>
                <w:ilvl w:val="0"/>
                <w:numId w:val="66"/>
              </w:numPr>
              <w:spacing w:after="0" w:line="240" w:lineRule="exact"/>
              <w:jc w:val="left"/>
              <w:rPr>
                <w:rFonts w:ascii="Nirmala UI Semilight" w:eastAsia="Nirmala UI Semilight" w:hAnsi="Nirmala UI Semilight" w:cs="Nirmala UI Semilight"/>
                <w:color w:val="000000" w:themeColor="text1"/>
              </w:rPr>
            </w:pPr>
            <w:r w:rsidRPr="46F76C5B">
              <w:rPr>
                <w:rFonts w:ascii="Nirmala UI Semilight" w:eastAsia="Nirmala UI Semilight" w:hAnsi="Nirmala UI Semilight" w:cs="Nirmala UI Semilight"/>
                <w:color w:val="000000" w:themeColor="text1"/>
              </w:rPr>
              <w:t>Ian White</w:t>
            </w:r>
            <w:r w:rsidRPr="46F76C5B">
              <w:rPr>
                <w:rFonts w:ascii="Arial" w:eastAsia="Arial" w:hAnsi="Arial" w:cs="Arial"/>
                <w:color w:val="000000" w:themeColor="text1"/>
              </w:rPr>
              <w:t>     </w:t>
            </w:r>
            <w:r w:rsidRPr="46F76C5B">
              <w:rPr>
                <w:rFonts w:ascii="Nirmala UI Semilight" w:eastAsia="Nirmala UI Semilight" w:hAnsi="Nirmala UI Semilight" w:cs="Nirmala UI Semilight"/>
                <w:color w:val="000000" w:themeColor="text1"/>
              </w:rPr>
              <w:t> </w:t>
            </w:r>
          </w:p>
          <w:p w14:paraId="7E782F98" w14:textId="77777777" w:rsidR="000F672D" w:rsidRPr="008E48F0" w:rsidRDefault="000F672D" w:rsidP="00C41AFE">
            <w:pPr>
              <w:pStyle w:val="ListParagraph"/>
              <w:numPr>
                <w:ilvl w:val="0"/>
                <w:numId w:val="65"/>
              </w:numPr>
              <w:spacing w:after="0" w:line="240" w:lineRule="exact"/>
              <w:jc w:val="left"/>
              <w:rPr>
                <w:rFonts w:ascii="Nirmala UI Semilight" w:eastAsia="Nirmala UI Semilight" w:hAnsi="Nirmala UI Semilight" w:cs="Nirmala UI Semilight"/>
                <w:b/>
                <w:bCs/>
                <w:color w:val="000000" w:themeColor="text1"/>
              </w:rPr>
            </w:pPr>
            <w:r w:rsidRPr="008E48F0">
              <w:rPr>
                <w:rFonts w:ascii="Nirmala UI Semilight" w:eastAsia="Nirmala UI Semilight" w:hAnsi="Nirmala UI Semilight" w:cs="Nirmala UI Semilight"/>
                <w:b/>
                <w:bCs/>
                <w:color w:val="000000" w:themeColor="text1"/>
              </w:rPr>
              <w:t>Bill Goddard</w:t>
            </w:r>
            <w:r w:rsidRPr="008E48F0">
              <w:rPr>
                <w:rFonts w:ascii="Arial" w:eastAsia="Arial" w:hAnsi="Arial" w:cs="Arial"/>
                <w:b/>
                <w:bCs/>
                <w:color w:val="000000" w:themeColor="text1"/>
              </w:rPr>
              <w:t>       </w:t>
            </w:r>
            <w:r w:rsidRPr="008E48F0">
              <w:rPr>
                <w:rFonts w:ascii="Nirmala UI Semilight" w:eastAsia="Nirmala UI Semilight" w:hAnsi="Nirmala UI Semilight" w:cs="Nirmala UI Semilight"/>
                <w:b/>
                <w:bCs/>
                <w:color w:val="000000" w:themeColor="text1"/>
              </w:rPr>
              <w:t> </w:t>
            </w:r>
          </w:p>
        </w:tc>
      </w:tr>
      <w:tr w:rsidR="000F672D" w14:paraId="6F2B020D" w14:textId="77777777" w:rsidTr="000F672D">
        <w:trPr>
          <w:trHeight w:val="278"/>
        </w:trPr>
        <w:tc>
          <w:tcPr>
            <w:tcW w:w="46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7CE127" w14:textId="77777777" w:rsidR="000F672D" w:rsidRDefault="000F672D">
            <w:pPr>
              <w:spacing w:after="0" w:line="240" w:lineRule="exact"/>
              <w:rPr>
                <w:rFonts w:ascii="Nirmala UI Semilight" w:eastAsia="Nirmala UI Semilight" w:hAnsi="Nirmala UI Semilight" w:cs="Nirmala UI Semilight"/>
                <w:color w:val="000000" w:themeColor="text1"/>
              </w:rPr>
            </w:pPr>
            <w:r w:rsidRPr="46F76C5B">
              <w:rPr>
                <w:rFonts w:ascii="Nirmala UI Semilight" w:eastAsia="Nirmala UI Semilight" w:hAnsi="Nirmala UI Semilight" w:cs="Nirmala UI Semilight"/>
                <w:color w:val="000000" w:themeColor="text1"/>
              </w:rPr>
              <w:t>Federal Power Marketing Administration</w:t>
            </w:r>
            <w:r w:rsidRPr="46F76C5B">
              <w:rPr>
                <w:rFonts w:ascii="Arial" w:eastAsia="Arial" w:hAnsi="Arial" w:cs="Arial"/>
                <w:color w:val="000000" w:themeColor="text1"/>
              </w:rPr>
              <w:t>       </w:t>
            </w:r>
            <w:r w:rsidRPr="46F76C5B">
              <w:rPr>
                <w:rFonts w:ascii="Nirmala UI Semilight" w:eastAsia="Nirmala UI Semilight" w:hAnsi="Nirmala UI Semilight" w:cs="Nirmala UI Semilight"/>
                <w:color w:val="000000" w:themeColor="text1"/>
              </w:rPr>
              <w:t> </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D67155" w14:textId="77777777" w:rsidR="000F672D" w:rsidRPr="001772FB" w:rsidRDefault="000F672D" w:rsidP="00C41AFE">
            <w:pPr>
              <w:pStyle w:val="ListParagraph"/>
              <w:numPr>
                <w:ilvl w:val="0"/>
                <w:numId w:val="64"/>
              </w:numPr>
              <w:spacing w:after="0" w:line="240" w:lineRule="exact"/>
              <w:jc w:val="left"/>
              <w:rPr>
                <w:rFonts w:ascii="Nirmala UI Semilight" w:eastAsia="Nirmala UI Semilight" w:hAnsi="Nirmala UI Semilight" w:cs="Nirmala UI Semilight"/>
                <w:b/>
                <w:bCs/>
                <w:color w:val="000000" w:themeColor="text1"/>
              </w:rPr>
            </w:pPr>
            <w:r w:rsidRPr="001772FB">
              <w:rPr>
                <w:rFonts w:ascii="Nirmala UI Semilight" w:eastAsia="Nirmala UI Semilight" w:hAnsi="Nirmala UI Semilight" w:cs="Nirmala UI Semilight"/>
                <w:b/>
                <w:bCs/>
                <w:color w:val="000000" w:themeColor="text1"/>
              </w:rPr>
              <w:t xml:space="preserve">Meg Albright </w:t>
            </w:r>
          </w:p>
          <w:p w14:paraId="2FC68D64" w14:textId="77777777" w:rsidR="000F672D" w:rsidRDefault="000F672D" w:rsidP="00C41AFE">
            <w:pPr>
              <w:pStyle w:val="ListParagraph"/>
              <w:numPr>
                <w:ilvl w:val="0"/>
                <w:numId w:val="63"/>
              </w:numPr>
              <w:spacing w:after="0" w:line="240" w:lineRule="exact"/>
              <w:jc w:val="left"/>
              <w:rPr>
                <w:rFonts w:ascii="Nirmala UI Semilight" w:eastAsia="Nirmala UI Semilight" w:hAnsi="Nirmala UI Semilight" w:cs="Nirmala UI Semilight"/>
                <w:color w:val="000000" w:themeColor="text1"/>
              </w:rPr>
            </w:pPr>
            <w:r w:rsidRPr="46F76C5B">
              <w:rPr>
                <w:rFonts w:ascii="Nirmala UI Semilight" w:eastAsia="Nirmala UI Semilight" w:hAnsi="Nirmala UI Semilight" w:cs="Nirmala UI Semilight"/>
                <w:color w:val="000000" w:themeColor="text1"/>
              </w:rPr>
              <w:t>Rachel Dibble</w:t>
            </w:r>
            <w:r w:rsidRPr="46F76C5B">
              <w:rPr>
                <w:rFonts w:ascii="Arial" w:eastAsia="Arial" w:hAnsi="Arial" w:cs="Arial"/>
                <w:color w:val="000000" w:themeColor="text1"/>
              </w:rPr>
              <w:t> </w:t>
            </w:r>
            <w:r w:rsidRPr="007911C6">
              <w:rPr>
                <w:rFonts w:ascii="Nirmala UI Semilight" w:eastAsia="Nirmala UI Semilight" w:hAnsi="Nirmala UI Semilight" w:cs="Nirmala UI Semilight"/>
                <w:b/>
                <w:bCs/>
                <w:color w:val="000000" w:themeColor="text1"/>
              </w:rPr>
              <w:t>(Meg Albright as proxy)</w:t>
            </w:r>
          </w:p>
        </w:tc>
      </w:tr>
      <w:tr w:rsidR="000F672D" w14:paraId="1EC92E1F" w14:textId="77777777" w:rsidTr="000F672D">
        <w:trPr>
          <w:trHeight w:val="278"/>
        </w:trPr>
        <w:tc>
          <w:tcPr>
            <w:tcW w:w="46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FAACEC" w14:textId="77777777" w:rsidR="000F672D" w:rsidRDefault="000F672D">
            <w:pPr>
              <w:spacing w:after="0" w:line="240" w:lineRule="exact"/>
              <w:rPr>
                <w:rFonts w:ascii="Nirmala UI Semilight" w:eastAsia="Nirmala UI Semilight" w:hAnsi="Nirmala UI Semilight" w:cs="Nirmala UI Semilight"/>
                <w:color w:val="000000" w:themeColor="text1"/>
              </w:rPr>
            </w:pPr>
            <w:r w:rsidRPr="46F76C5B">
              <w:rPr>
                <w:rFonts w:ascii="Nirmala UI Semilight" w:eastAsia="Nirmala UI Semilight" w:hAnsi="Nirmala UI Semilight" w:cs="Nirmala UI Semilight"/>
                <w:color w:val="000000" w:themeColor="text1"/>
              </w:rPr>
              <w:t>Independent power producers/marketers</w:t>
            </w:r>
            <w:r w:rsidRPr="46F76C5B">
              <w:rPr>
                <w:rFonts w:ascii="Arial" w:eastAsia="Arial" w:hAnsi="Arial" w:cs="Arial"/>
                <w:color w:val="000000" w:themeColor="text1"/>
              </w:rPr>
              <w:t>       </w:t>
            </w:r>
            <w:r w:rsidRPr="46F76C5B">
              <w:rPr>
                <w:rFonts w:ascii="Nirmala UI Semilight" w:eastAsia="Nirmala UI Semilight" w:hAnsi="Nirmala UI Semilight" w:cs="Nirmala UI Semilight"/>
                <w:color w:val="000000" w:themeColor="text1"/>
              </w:rPr>
              <w:t> </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C8D1D9" w14:textId="77777777" w:rsidR="000F672D" w:rsidRDefault="000F672D" w:rsidP="00C41AFE">
            <w:pPr>
              <w:pStyle w:val="ListParagraph"/>
              <w:numPr>
                <w:ilvl w:val="0"/>
                <w:numId w:val="62"/>
              </w:numPr>
              <w:spacing w:after="0" w:line="240" w:lineRule="exact"/>
              <w:jc w:val="left"/>
              <w:rPr>
                <w:rFonts w:ascii="Nirmala UI Semilight" w:eastAsia="Nirmala UI Semilight" w:hAnsi="Nirmala UI Semilight" w:cs="Nirmala UI Semilight"/>
                <w:color w:val="000000" w:themeColor="text1"/>
              </w:rPr>
            </w:pPr>
            <w:r w:rsidRPr="46F76C5B">
              <w:rPr>
                <w:rFonts w:ascii="Nirmala UI Semilight" w:eastAsia="Nirmala UI Semilight" w:hAnsi="Nirmala UI Semilight" w:cs="Nirmala UI Semilight"/>
                <w:color w:val="000000" w:themeColor="text1"/>
              </w:rPr>
              <w:t>John Cooper (</w:t>
            </w:r>
            <w:r w:rsidRPr="00305ACF">
              <w:rPr>
                <w:rFonts w:ascii="Nirmala UI Semilight" w:eastAsia="Nirmala UI Semilight" w:hAnsi="Nirmala UI Semilight" w:cs="Nirmala UI Semilight"/>
                <w:b/>
                <w:bCs/>
                <w:color w:val="000000" w:themeColor="text1"/>
              </w:rPr>
              <w:t>Benjamin Fitch Fleischmann as proxy</w:t>
            </w:r>
            <w:r w:rsidRPr="46F76C5B">
              <w:rPr>
                <w:rFonts w:ascii="Nirmala UI Semilight" w:eastAsia="Nirmala UI Semilight" w:hAnsi="Nirmala UI Semilight" w:cs="Nirmala UI Semilight"/>
                <w:color w:val="000000" w:themeColor="text1"/>
              </w:rPr>
              <w:t>)</w:t>
            </w:r>
            <w:r w:rsidRPr="46F76C5B">
              <w:rPr>
                <w:rFonts w:ascii="Arial" w:eastAsia="Arial" w:hAnsi="Arial" w:cs="Arial"/>
                <w:color w:val="000000" w:themeColor="text1"/>
              </w:rPr>
              <w:t> </w:t>
            </w:r>
            <w:r w:rsidRPr="46F76C5B">
              <w:rPr>
                <w:rFonts w:ascii="Nirmala UI Semilight" w:eastAsia="Nirmala UI Semilight" w:hAnsi="Nirmala UI Semilight" w:cs="Nirmala UI Semilight"/>
                <w:color w:val="000000" w:themeColor="text1"/>
              </w:rPr>
              <w:t> </w:t>
            </w:r>
          </w:p>
          <w:p w14:paraId="69272BD3" w14:textId="77777777" w:rsidR="000F672D" w:rsidRPr="00305ACF" w:rsidRDefault="000F672D" w:rsidP="00C41AFE">
            <w:pPr>
              <w:pStyle w:val="ListParagraph"/>
              <w:numPr>
                <w:ilvl w:val="0"/>
                <w:numId w:val="61"/>
              </w:numPr>
              <w:spacing w:after="0" w:line="240" w:lineRule="exact"/>
              <w:jc w:val="left"/>
              <w:rPr>
                <w:rFonts w:ascii="Nirmala UI Semilight" w:eastAsia="Nirmala UI Semilight" w:hAnsi="Nirmala UI Semilight" w:cs="Nirmala UI Semilight"/>
                <w:b/>
                <w:bCs/>
                <w:color w:val="000000" w:themeColor="text1"/>
              </w:rPr>
            </w:pPr>
            <w:r w:rsidRPr="00305ACF">
              <w:rPr>
                <w:rFonts w:ascii="Nirmala UI Semilight" w:eastAsia="Nirmala UI Semilight" w:hAnsi="Nirmala UI Semilight" w:cs="Nirmala UI Semilight"/>
                <w:b/>
                <w:bCs/>
                <w:color w:val="000000" w:themeColor="text1"/>
              </w:rPr>
              <w:t>Benjamin Fitch Fleischmann</w:t>
            </w:r>
            <w:r w:rsidRPr="00305ACF">
              <w:rPr>
                <w:rFonts w:ascii="Arial" w:eastAsia="Arial" w:hAnsi="Arial" w:cs="Arial"/>
                <w:b/>
                <w:bCs/>
                <w:color w:val="000000" w:themeColor="text1"/>
              </w:rPr>
              <w:t>  </w:t>
            </w:r>
            <w:r w:rsidRPr="00305ACF">
              <w:rPr>
                <w:rFonts w:ascii="Nirmala UI Semilight" w:eastAsia="Nirmala UI Semilight" w:hAnsi="Nirmala UI Semilight" w:cs="Nirmala UI Semilight"/>
                <w:b/>
                <w:bCs/>
                <w:color w:val="000000" w:themeColor="text1"/>
              </w:rPr>
              <w:t> </w:t>
            </w:r>
          </w:p>
        </w:tc>
      </w:tr>
      <w:tr w:rsidR="000F672D" w14:paraId="7B724000" w14:textId="77777777" w:rsidTr="000F672D">
        <w:trPr>
          <w:trHeight w:val="278"/>
        </w:trPr>
        <w:tc>
          <w:tcPr>
            <w:tcW w:w="46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B2764" w14:textId="77777777" w:rsidR="000F672D" w:rsidRDefault="000F672D">
            <w:pPr>
              <w:spacing w:after="0" w:line="240" w:lineRule="exact"/>
              <w:rPr>
                <w:rFonts w:ascii="Nirmala UI Semilight" w:eastAsia="Nirmala UI Semilight" w:hAnsi="Nirmala UI Semilight" w:cs="Nirmala UI Semilight"/>
                <w:color w:val="000000" w:themeColor="text1"/>
              </w:rPr>
            </w:pPr>
            <w:r w:rsidRPr="46F76C5B">
              <w:rPr>
                <w:rFonts w:ascii="Nirmala UI Semilight" w:eastAsia="Nirmala UI Semilight" w:hAnsi="Nirmala UI Semilight" w:cs="Nirmala UI Semilight"/>
                <w:color w:val="000000" w:themeColor="text1"/>
              </w:rPr>
              <w:t>Public interest organizations</w:t>
            </w:r>
            <w:r w:rsidRPr="46F76C5B">
              <w:rPr>
                <w:rFonts w:ascii="Arial" w:eastAsia="Arial" w:hAnsi="Arial" w:cs="Arial"/>
                <w:color w:val="000000" w:themeColor="text1"/>
              </w:rPr>
              <w:t>       </w:t>
            </w:r>
            <w:r w:rsidRPr="46F76C5B">
              <w:rPr>
                <w:rFonts w:ascii="Nirmala UI Semilight" w:eastAsia="Nirmala UI Semilight" w:hAnsi="Nirmala UI Semilight" w:cs="Nirmala UI Semilight"/>
                <w:color w:val="000000" w:themeColor="text1"/>
              </w:rPr>
              <w:t> </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22EFCA" w14:textId="77777777" w:rsidR="000F672D" w:rsidRDefault="000F672D" w:rsidP="00C41AFE">
            <w:pPr>
              <w:pStyle w:val="ListParagraph"/>
              <w:numPr>
                <w:ilvl w:val="0"/>
                <w:numId w:val="60"/>
              </w:numPr>
              <w:spacing w:after="0" w:line="240" w:lineRule="exact"/>
              <w:jc w:val="left"/>
              <w:rPr>
                <w:rFonts w:ascii="Nirmala UI Semilight" w:eastAsia="Nirmala UI Semilight" w:hAnsi="Nirmala UI Semilight" w:cs="Nirmala UI Semilight"/>
                <w:color w:val="000000" w:themeColor="text1"/>
              </w:rPr>
            </w:pPr>
            <w:r w:rsidRPr="00305ACF">
              <w:rPr>
                <w:rFonts w:ascii="Nirmala UI Semilight" w:eastAsia="Nirmala UI Semilight" w:hAnsi="Nirmala UI Semilight" w:cs="Nirmala UI Semilight"/>
                <w:b/>
                <w:bCs/>
                <w:color w:val="000000" w:themeColor="text1"/>
              </w:rPr>
              <w:t>Fred Huette</w:t>
            </w:r>
            <w:r w:rsidRPr="46F76C5B">
              <w:rPr>
                <w:rFonts w:ascii="Nirmala UI Semilight" w:eastAsia="Nirmala UI Semilight" w:hAnsi="Nirmala UI Semilight" w:cs="Nirmala UI Semilight"/>
                <w:color w:val="000000" w:themeColor="text1"/>
              </w:rPr>
              <w:t xml:space="preserve"> (Max Greene as proxy)</w:t>
            </w:r>
            <w:r w:rsidRPr="46F76C5B">
              <w:rPr>
                <w:rFonts w:ascii="Arial" w:eastAsia="Arial" w:hAnsi="Arial" w:cs="Arial"/>
                <w:color w:val="000000" w:themeColor="text1"/>
              </w:rPr>
              <w:t>  </w:t>
            </w:r>
            <w:r w:rsidRPr="46F76C5B">
              <w:rPr>
                <w:rFonts w:ascii="Nirmala UI Semilight" w:eastAsia="Nirmala UI Semilight" w:hAnsi="Nirmala UI Semilight" w:cs="Nirmala UI Semilight"/>
                <w:color w:val="000000" w:themeColor="text1"/>
              </w:rPr>
              <w:t> </w:t>
            </w:r>
          </w:p>
          <w:p w14:paraId="3355BE4C" w14:textId="77777777" w:rsidR="000F672D" w:rsidRPr="00305ACF" w:rsidRDefault="000F672D" w:rsidP="00C41AFE">
            <w:pPr>
              <w:pStyle w:val="ListParagraph"/>
              <w:numPr>
                <w:ilvl w:val="0"/>
                <w:numId w:val="59"/>
              </w:numPr>
              <w:spacing w:after="0" w:line="240" w:lineRule="exact"/>
              <w:jc w:val="left"/>
              <w:rPr>
                <w:rFonts w:ascii="Nirmala UI Semilight" w:eastAsia="Nirmala UI Semilight" w:hAnsi="Nirmala UI Semilight" w:cs="Nirmala UI Semilight"/>
                <w:b/>
                <w:bCs/>
                <w:color w:val="000000" w:themeColor="text1"/>
              </w:rPr>
            </w:pPr>
            <w:r w:rsidRPr="00305ACF">
              <w:rPr>
                <w:rFonts w:ascii="Nirmala UI Semilight" w:eastAsia="Nirmala UI Semilight" w:hAnsi="Nirmala UI Semilight" w:cs="Nirmala UI Semilight"/>
                <w:b/>
                <w:bCs/>
                <w:color w:val="000000" w:themeColor="text1"/>
              </w:rPr>
              <w:t>Max Greene</w:t>
            </w:r>
            <w:r w:rsidRPr="00305ACF">
              <w:rPr>
                <w:rFonts w:ascii="Arial" w:eastAsia="Arial" w:hAnsi="Arial" w:cs="Arial"/>
                <w:b/>
                <w:bCs/>
                <w:color w:val="000000" w:themeColor="text1"/>
              </w:rPr>
              <w:t>  </w:t>
            </w:r>
            <w:r w:rsidRPr="00305ACF">
              <w:rPr>
                <w:rFonts w:ascii="Nirmala UI Semilight" w:eastAsia="Nirmala UI Semilight" w:hAnsi="Nirmala UI Semilight" w:cs="Nirmala UI Semilight"/>
                <w:b/>
                <w:bCs/>
                <w:color w:val="000000" w:themeColor="text1"/>
              </w:rPr>
              <w:t> </w:t>
            </w:r>
          </w:p>
        </w:tc>
      </w:tr>
      <w:tr w:rsidR="000F672D" w14:paraId="682CFB84" w14:textId="77777777" w:rsidTr="000F672D">
        <w:trPr>
          <w:trHeight w:val="278"/>
        </w:trPr>
        <w:tc>
          <w:tcPr>
            <w:tcW w:w="46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0E2A65" w14:textId="77777777" w:rsidR="000F672D" w:rsidRDefault="000F672D">
            <w:pPr>
              <w:spacing w:after="0" w:line="240" w:lineRule="exact"/>
              <w:rPr>
                <w:rFonts w:ascii="Nirmala UI Semilight" w:eastAsia="Nirmala UI Semilight" w:hAnsi="Nirmala UI Semilight" w:cs="Nirmala UI Semilight"/>
                <w:color w:val="000000" w:themeColor="text1"/>
              </w:rPr>
            </w:pPr>
            <w:r w:rsidRPr="46F76C5B">
              <w:rPr>
                <w:rFonts w:ascii="Nirmala UI Semilight" w:eastAsia="Nirmala UI Semilight" w:hAnsi="Nirmala UI Semilight" w:cs="Nirmala UI Semilight"/>
                <w:color w:val="000000" w:themeColor="text1"/>
              </w:rPr>
              <w:t>Retail customer advocacy group</w:t>
            </w:r>
            <w:r w:rsidRPr="46F76C5B">
              <w:rPr>
                <w:rFonts w:ascii="Arial" w:eastAsia="Arial" w:hAnsi="Arial" w:cs="Arial"/>
                <w:color w:val="000000" w:themeColor="text1"/>
              </w:rPr>
              <w:t>       </w:t>
            </w:r>
            <w:r w:rsidRPr="46F76C5B">
              <w:rPr>
                <w:rFonts w:ascii="Nirmala UI Semilight" w:eastAsia="Nirmala UI Semilight" w:hAnsi="Nirmala UI Semilight" w:cs="Nirmala UI Semilight"/>
                <w:color w:val="000000" w:themeColor="text1"/>
              </w:rPr>
              <w:t> </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7D6232" w14:textId="77777777" w:rsidR="000F672D" w:rsidRPr="00305ACF" w:rsidRDefault="000F672D" w:rsidP="00C41AFE">
            <w:pPr>
              <w:pStyle w:val="ListParagraph"/>
              <w:numPr>
                <w:ilvl w:val="0"/>
                <w:numId w:val="58"/>
              </w:numPr>
              <w:spacing w:after="0" w:line="240" w:lineRule="exact"/>
              <w:jc w:val="left"/>
              <w:rPr>
                <w:rFonts w:ascii="Nirmala UI Semilight" w:eastAsia="Nirmala UI Semilight" w:hAnsi="Nirmala UI Semilight" w:cs="Nirmala UI Semilight"/>
                <w:b/>
                <w:bCs/>
                <w:color w:val="000000" w:themeColor="text1"/>
              </w:rPr>
            </w:pPr>
            <w:r w:rsidRPr="00305ACF">
              <w:rPr>
                <w:rFonts w:ascii="Nirmala UI Semilight" w:eastAsia="Nirmala UI Semilight" w:hAnsi="Nirmala UI Semilight" w:cs="Nirmala UI Semilight"/>
                <w:b/>
                <w:bCs/>
                <w:color w:val="000000" w:themeColor="text1"/>
              </w:rPr>
              <w:t>Bela Vastag</w:t>
            </w:r>
            <w:r w:rsidRPr="00305ACF">
              <w:rPr>
                <w:rFonts w:ascii="Arial" w:eastAsia="Arial" w:hAnsi="Arial" w:cs="Arial"/>
                <w:b/>
                <w:bCs/>
                <w:color w:val="000000" w:themeColor="text1"/>
              </w:rPr>
              <w:t>    </w:t>
            </w:r>
            <w:r w:rsidRPr="00305ACF">
              <w:rPr>
                <w:rFonts w:ascii="Nirmala UI Semilight" w:eastAsia="Nirmala UI Semilight" w:hAnsi="Nirmala UI Semilight" w:cs="Nirmala UI Semilight"/>
                <w:b/>
                <w:bCs/>
                <w:color w:val="000000" w:themeColor="text1"/>
              </w:rPr>
              <w:t> </w:t>
            </w:r>
          </w:p>
        </w:tc>
      </w:tr>
      <w:tr w:rsidR="000F672D" w14:paraId="21CD8760" w14:textId="77777777" w:rsidTr="000F672D">
        <w:trPr>
          <w:trHeight w:val="278"/>
        </w:trPr>
        <w:tc>
          <w:tcPr>
            <w:tcW w:w="46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B9F19D" w14:textId="77777777" w:rsidR="000F672D" w:rsidRDefault="000F672D">
            <w:pPr>
              <w:spacing w:after="0" w:line="240" w:lineRule="exact"/>
              <w:rPr>
                <w:rFonts w:ascii="Nirmala UI Semilight" w:eastAsia="Nirmala UI Semilight" w:hAnsi="Nirmala UI Semilight" w:cs="Nirmala UI Semilight"/>
                <w:color w:val="000000" w:themeColor="text1"/>
              </w:rPr>
            </w:pPr>
            <w:r w:rsidRPr="46F76C5B">
              <w:rPr>
                <w:rFonts w:ascii="Nirmala UI Semilight" w:eastAsia="Nirmala UI Semilight" w:hAnsi="Nirmala UI Semilight" w:cs="Nirmala UI Semilight"/>
                <w:color w:val="000000" w:themeColor="text1"/>
              </w:rPr>
              <w:t>Industrial customer advocacy group</w:t>
            </w:r>
            <w:r w:rsidRPr="46F76C5B">
              <w:rPr>
                <w:rFonts w:ascii="Arial" w:eastAsia="Arial" w:hAnsi="Arial" w:cs="Arial"/>
                <w:color w:val="000000" w:themeColor="text1"/>
              </w:rPr>
              <w:t>       </w:t>
            </w:r>
            <w:r w:rsidRPr="46F76C5B">
              <w:rPr>
                <w:rFonts w:ascii="Nirmala UI Semilight" w:eastAsia="Nirmala UI Semilight" w:hAnsi="Nirmala UI Semilight" w:cs="Nirmala UI Semilight"/>
                <w:color w:val="000000" w:themeColor="text1"/>
              </w:rPr>
              <w:t> </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76D4C7" w14:textId="77777777" w:rsidR="000F672D" w:rsidRDefault="000F672D" w:rsidP="00C41AFE">
            <w:pPr>
              <w:pStyle w:val="ListParagraph"/>
              <w:numPr>
                <w:ilvl w:val="0"/>
                <w:numId w:val="57"/>
              </w:numPr>
              <w:spacing w:after="0" w:line="240" w:lineRule="exact"/>
              <w:jc w:val="left"/>
              <w:rPr>
                <w:rFonts w:ascii="Nirmala UI Semilight" w:eastAsia="Nirmala UI Semilight" w:hAnsi="Nirmala UI Semilight" w:cs="Nirmala UI Semilight"/>
                <w:color w:val="000000" w:themeColor="text1"/>
              </w:rPr>
            </w:pPr>
            <w:r w:rsidRPr="00305ACF">
              <w:rPr>
                <w:rFonts w:ascii="Nirmala UI Semilight" w:eastAsia="Nirmala UI Semilight" w:hAnsi="Nirmala UI Semilight" w:cs="Nirmala UI Semilight"/>
                <w:b/>
                <w:bCs/>
                <w:color w:val="000000" w:themeColor="text1"/>
              </w:rPr>
              <w:t>Sommer Moser</w:t>
            </w:r>
            <w:r w:rsidRPr="46F76C5B">
              <w:rPr>
                <w:rFonts w:ascii="Arial" w:eastAsia="Arial" w:hAnsi="Arial" w:cs="Arial"/>
                <w:color w:val="000000" w:themeColor="text1"/>
              </w:rPr>
              <w:t> </w:t>
            </w:r>
            <w:r w:rsidRPr="46F76C5B">
              <w:rPr>
                <w:rFonts w:ascii="Nirmala UI Semilight" w:eastAsia="Nirmala UI Semilight" w:hAnsi="Nirmala UI Semilight" w:cs="Nirmala UI Semilight"/>
                <w:color w:val="000000" w:themeColor="text1"/>
              </w:rPr>
              <w:t>(Tyler Pepper as proxy)</w:t>
            </w:r>
            <w:r w:rsidRPr="46F76C5B">
              <w:rPr>
                <w:rFonts w:ascii="Arial" w:eastAsia="Arial" w:hAnsi="Arial" w:cs="Arial"/>
                <w:color w:val="000000" w:themeColor="text1"/>
              </w:rPr>
              <w:t> </w:t>
            </w:r>
            <w:r w:rsidRPr="46F76C5B">
              <w:rPr>
                <w:rFonts w:ascii="Nirmala UI Semilight" w:eastAsia="Nirmala UI Semilight" w:hAnsi="Nirmala UI Semilight" w:cs="Nirmala UI Semilight"/>
                <w:color w:val="000000" w:themeColor="text1"/>
              </w:rPr>
              <w:t> </w:t>
            </w:r>
          </w:p>
        </w:tc>
      </w:tr>
      <w:tr w:rsidR="000F672D" w14:paraId="72A7CDF5" w14:textId="77777777" w:rsidTr="000F672D">
        <w:trPr>
          <w:trHeight w:val="278"/>
        </w:trPr>
        <w:tc>
          <w:tcPr>
            <w:tcW w:w="46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CF2060" w14:textId="77777777" w:rsidR="000F672D" w:rsidRDefault="000F672D">
            <w:pPr>
              <w:spacing w:after="0" w:line="240" w:lineRule="exact"/>
              <w:rPr>
                <w:rFonts w:ascii="Nirmala UI Semilight" w:eastAsia="Nirmala UI Semilight" w:hAnsi="Nirmala UI Semilight" w:cs="Nirmala UI Semilight"/>
                <w:color w:val="000000" w:themeColor="text1"/>
              </w:rPr>
            </w:pPr>
            <w:r w:rsidRPr="46F76C5B">
              <w:rPr>
                <w:rFonts w:ascii="Nirmala UI Semilight" w:eastAsia="Nirmala UI Semilight" w:hAnsi="Nirmala UI Semilight" w:cs="Nirmala UI Semilight"/>
                <w:color w:val="000000" w:themeColor="text1"/>
              </w:rPr>
              <w:t>Load Serving Entity (LSE) (or representative) with loads in the WRAP represented by another LRE and otherwise not eligible for any other sector</w:t>
            </w:r>
            <w:r w:rsidRPr="46F76C5B">
              <w:rPr>
                <w:rFonts w:ascii="Arial" w:eastAsia="Arial" w:hAnsi="Arial" w:cs="Arial"/>
                <w:color w:val="000000" w:themeColor="text1"/>
              </w:rPr>
              <w:t>       </w:t>
            </w:r>
            <w:r w:rsidRPr="46F76C5B">
              <w:rPr>
                <w:rFonts w:ascii="Nirmala UI Semilight" w:eastAsia="Nirmala UI Semilight" w:hAnsi="Nirmala UI Semilight" w:cs="Nirmala UI Semilight"/>
                <w:color w:val="000000" w:themeColor="text1"/>
              </w:rPr>
              <w:t> </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19ED0C" w14:textId="77777777" w:rsidR="000F672D" w:rsidRDefault="000F672D" w:rsidP="00C41AFE">
            <w:pPr>
              <w:pStyle w:val="ListParagraph"/>
              <w:numPr>
                <w:ilvl w:val="0"/>
                <w:numId w:val="56"/>
              </w:numPr>
              <w:spacing w:after="0" w:line="240" w:lineRule="exact"/>
              <w:jc w:val="left"/>
              <w:rPr>
                <w:rFonts w:ascii="Nirmala UI Semilight" w:eastAsia="Nirmala UI Semilight" w:hAnsi="Nirmala UI Semilight" w:cs="Nirmala UI Semilight"/>
                <w:color w:val="000000" w:themeColor="text1"/>
              </w:rPr>
            </w:pPr>
            <w:r w:rsidRPr="46F76C5B">
              <w:rPr>
                <w:rFonts w:ascii="Nirmala UI Semilight" w:eastAsia="Nirmala UI Semilight" w:hAnsi="Nirmala UI Semilight" w:cs="Nirmala UI Semilight"/>
                <w:color w:val="000000" w:themeColor="text1"/>
              </w:rPr>
              <w:t>Chris Allen</w:t>
            </w:r>
            <w:r w:rsidRPr="46F76C5B">
              <w:rPr>
                <w:rFonts w:ascii="Arial" w:eastAsia="Arial" w:hAnsi="Arial" w:cs="Arial"/>
                <w:color w:val="000000" w:themeColor="text1"/>
              </w:rPr>
              <w:t>      </w:t>
            </w:r>
            <w:r w:rsidRPr="46F76C5B">
              <w:rPr>
                <w:rFonts w:ascii="Nirmala UI Semilight" w:eastAsia="Nirmala UI Semilight" w:hAnsi="Nirmala UI Semilight" w:cs="Nirmala UI Semilight"/>
                <w:color w:val="000000" w:themeColor="text1"/>
              </w:rPr>
              <w:t> </w:t>
            </w:r>
          </w:p>
        </w:tc>
      </w:tr>
      <w:tr w:rsidR="000F672D" w14:paraId="2599676A" w14:textId="77777777" w:rsidTr="000F672D">
        <w:trPr>
          <w:trHeight w:val="278"/>
        </w:trPr>
        <w:tc>
          <w:tcPr>
            <w:tcW w:w="46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951FB9" w14:textId="77777777" w:rsidR="000F672D" w:rsidRDefault="000F672D">
            <w:pPr>
              <w:spacing w:after="0" w:line="240" w:lineRule="exact"/>
              <w:rPr>
                <w:rFonts w:ascii="Nirmala UI Semilight" w:eastAsia="Nirmala UI Semilight" w:hAnsi="Nirmala UI Semilight" w:cs="Nirmala UI Semilight"/>
                <w:color w:val="000000" w:themeColor="text1"/>
              </w:rPr>
            </w:pPr>
            <w:r w:rsidRPr="46F76C5B">
              <w:rPr>
                <w:rFonts w:ascii="Nirmala UI Semilight" w:eastAsia="Nirmala UI Semilight" w:hAnsi="Nirmala UI Semilight" w:cs="Nirmala UI Semilight"/>
                <w:color w:val="000000" w:themeColor="text1"/>
              </w:rPr>
              <w:t xml:space="preserve">COSR </w:t>
            </w:r>
            <w:r w:rsidRPr="46F76C5B">
              <w:rPr>
                <w:rFonts w:ascii="Arial" w:eastAsia="Arial" w:hAnsi="Arial" w:cs="Arial"/>
                <w:color w:val="000000" w:themeColor="text1"/>
              </w:rPr>
              <w:t>       </w:t>
            </w:r>
            <w:r w:rsidRPr="46F76C5B">
              <w:rPr>
                <w:rFonts w:ascii="Nirmala UI Semilight" w:eastAsia="Nirmala UI Semilight" w:hAnsi="Nirmala UI Semilight" w:cs="Nirmala UI Semilight"/>
                <w:color w:val="000000" w:themeColor="text1"/>
              </w:rPr>
              <w:t> </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EECF74" w14:textId="77777777" w:rsidR="000F672D" w:rsidRDefault="000F672D" w:rsidP="00C41AFE">
            <w:pPr>
              <w:pStyle w:val="ListParagraph"/>
              <w:numPr>
                <w:ilvl w:val="0"/>
                <w:numId w:val="55"/>
              </w:numPr>
              <w:spacing w:after="0" w:line="240" w:lineRule="exact"/>
              <w:jc w:val="left"/>
              <w:rPr>
                <w:rFonts w:ascii="Nirmala UI Semilight" w:eastAsia="Nirmala UI Semilight" w:hAnsi="Nirmala UI Semilight" w:cs="Nirmala UI Semilight"/>
                <w:color w:val="000000" w:themeColor="text1"/>
              </w:rPr>
            </w:pPr>
            <w:r w:rsidRPr="00305ACF">
              <w:rPr>
                <w:rFonts w:ascii="Nirmala UI Semilight" w:eastAsia="Nirmala UI Semilight" w:hAnsi="Nirmala UI Semilight" w:cs="Nirmala UI Semilight"/>
                <w:b/>
                <w:bCs/>
                <w:color w:val="000000" w:themeColor="text1"/>
              </w:rPr>
              <w:t>Chris Parker</w:t>
            </w:r>
            <w:r w:rsidRPr="46F76C5B">
              <w:rPr>
                <w:rFonts w:ascii="Nirmala UI Semilight" w:eastAsia="Nirmala UI Semilight" w:hAnsi="Nirmala UI Semilight" w:cs="Nirmala UI Semilight"/>
                <w:color w:val="000000" w:themeColor="text1"/>
              </w:rPr>
              <w:t xml:space="preserve"> (Gia Anguiano as </w:t>
            </w:r>
            <w:proofErr w:type="gramStart"/>
            <w:r w:rsidRPr="46F76C5B">
              <w:rPr>
                <w:rFonts w:ascii="Nirmala UI Semilight" w:eastAsia="Nirmala UI Semilight" w:hAnsi="Nirmala UI Semilight" w:cs="Nirmala UI Semilight"/>
                <w:color w:val="000000" w:themeColor="text1"/>
              </w:rPr>
              <w:t>alternate)</w:t>
            </w:r>
            <w:r w:rsidRPr="46F76C5B">
              <w:rPr>
                <w:rFonts w:ascii="Arial" w:eastAsia="Arial" w:hAnsi="Arial" w:cs="Arial"/>
                <w:color w:val="000000" w:themeColor="text1"/>
              </w:rPr>
              <w:t>  </w:t>
            </w:r>
            <w:r w:rsidRPr="46F76C5B">
              <w:rPr>
                <w:rFonts w:ascii="Nirmala UI Semilight" w:eastAsia="Nirmala UI Semilight" w:hAnsi="Nirmala UI Semilight" w:cs="Nirmala UI Semilight"/>
                <w:color w:val="000000" w:themeColor="text1"/>
              </w:rPr>
              <w:t> </w:t>
            </w:r>
            <w:proofErr w:type="gramEnd"/>
          </w:p>
        </w:tc>
      </w:tr>
    </w:tbl>
    <w:p w14:paraId="092111EC" w14:textId="77777777" w:rsidR="000F672D" w:rsidRPr="002F5BE4" w:rsidRDefault="000F672D" w:rsidP="000F672D">
      <w:pPr>
        <w:spacing w:before="240"/>
        <w:rPr>
          <w:rFonts w:ascii="Nirmala UI Semilight" w:hAnsi="Nirmala UI Semilight" w:cs="Nirmala UI Semilight"/>
          <w:b/>
          <w:bCs/>
        </w:rPr>
      </w:pPr>
      <w:r w:rsidRPr="0BF94030">
        <w:rPr>
          <w:rFonts w:ascii="Nirmala UI Semilight" w:hAnsi="Nirmala UI Semilight" w:cs="Nirmala UI Semilight"/>
          <w:b/>
          <w:bCs/>
        </w:rPr>
        <w:t>Meeting Objectives</w:t>
      </w:r>
    </w:p>
    <w:p w14:paraId="54B937FD" w14:textId="77777777" w:rsidR="000F672D" w:rsidRDefault="000F672D" w:rsidP="000F672D">
      <w:pPr>
        <w:pStyle w:val="ListParagraph"/>
        <w:numPr>
          <w:ilvl w:val="0"/>
          <w:numId w:val="23"/>
        </w:numPr>
        <w:spacing w:after="160" w:line="259" w:lineRule="auto"/>
        <w:jc w:val="left"/>
        <w:rPr>
          <w:rFonts w:ascii="Nirmala UI Semilight" w:hAnsi="Nirmala UI Semilight" w:cs="Nirmala UI Semilight"/>
        </w:rPr>
      </w:pPr>
      <w:r>
        <w:rPr>
          <w:rFonts w:ascii="Nirmala UI Semilight" w:hAnsi="Nirmala UI Semilight" w:cs="Nirmala UI Semilight"/>
        </w:rPr>
        <w:t xml:space="preserve">Discuss Level of Effort Review/Draft Schedule ahead of Draft Workplan development </w:t>
      </w:r>
    </w:p>
    <w:p w14:paraId="60A5DA05" w14:textId="77777777" w:rsidR="000F672D" w:rsidRDefault="000F672D" w:rsidP="000F672D">
      <w:pPr>
        <w:pStyle w:val="ListParagraph"/>
        <w:numPr>
          <w:ilvl w:val="0"/>
          <w:numId w:val="23"/>
        </w:numPr>
        <w:spacing w:after="160" w:line="259" w:lineRule="auto"/>
        <w:jc w:val="left"/>
        <w:rPr>
          <w:rFonts w:ascii="Nirmala UI Semilight" w:hAnsi="Nirmala UI Semilight" w:cs="Nirmala UI Semilight"/>
        </w:rPr>
      </w:pPr>
      <w:r w:rsidRPr="1D29F922">
        <w:rPr>
          <w:rFonts w:ascii="Nirmala UI Semilight" w:eastAsia="Nirmala UI Semilight" w:hAnsi="Nirmala UI Semilight" w:cs="Nirmala UI Semilight"/>
          <w:color w:val="000000" w:themeColor="text1"/>
        </w:rPr>
        <w:t>Consider endorsement of 2024-NTFP-</w:t>
      </w:r>
      <w:r w:rsidRPr="7C15FFC9">
        <w:rPr>
          <w:rFonts w:ascii="Nirmala UI Semilight" w:eastAsia="Nirmala UI Semilight" w:hAnsi="Nirmala UI Semilight" w:cs="Nirmala UI Semilight"/>
          <w:color w:val="000000" w:themeColor="text1"/>
        </w:rPr>
        <w:t>2</w:t>
      </w:r>
      <w:r w:rsidRPr="1D29F922">
        <w:rPr>
          <w:rFonts w:ascii="Nirmala UI Semilight" w:eastAsia="Nirmala UI Semilight" w:hAnsi="Nirmala UI Semilight" w:cs="Nirmala UI Semilight"/>
          <w:color w:val="000000" w:themeColor="text1"/>
        </w:rPr>
        <w:t xml:space="preserve"> </w:t>
      </w:r>
      <w:r w:rsidRPr="1D29F922">
        <w:rPr>
          <w:rFonts w:ascii="Nirmala UI Semilight" w:hAnsi="Nirmala UI Semilight" w:cs="Nirmala UI Semilight"/>
        </w:rPr>
        <w:t>(BPM Changes due to 2024-EP-1</w:t>
      </w:r>
      <w:r>
        <w:rPr>
          <w:rFonts w:ascii="Nirmala UI Semilight" w:hAnsi="Nirmala UI Semilight" w:cs="Nirmala UI Semilight"/>
        </w:rPr>
        <w:t>/Revised Transition Plan</w:t>
      </w:r>
      <w:r w:rsidRPr="1D29F922">
        <w:rPr>
          <w:rFonts w:ascii="Nirmala UI Semilight" w:hAnsi="Nirmala UI Semilight" w:cs="Nirmala UI Semilight"/>
        </w:rPr>
        <w:t>)</w:t>
      </w:r>
      <w:r>
        <w:rPr>
          <w:rFonts w:ascii="Nirmala UI Semilight" w:hAnsi="Nirmala UI Semilight" w:cs="Nirmala UI Semilight"/>
        </w:rPr>
        <w:t xml:space="preserve"> to the RAPC</w:t>
      </w:r>
    </w:p>
    <w:p w14:paraId="55A9EE59" w14:textId="77777777" w:rsidR="000F672D" w:rsidRPr="002F5BE4" w:rsidRDefault="000F672D" w:rsidP="000F672D">
      <w:pPr>
        <w:rPr>
          <w:rFonts w:ascii="Nirmala UI Semilight" w:hAnsi="Nirmala UI Semilight" w:cs="Nirmala UI Semilight"/>
          <w:b/>
          <w:bCs/>
        </w:rPr>
      </w:pPr>
      <w:r w:rsidRPr="23398BF8">
        <w:rPr>
          <w:rFonts w:ascii="Nirmala UI Semilight" w:hAnsi="Nirmala UI Semilight" w:cs="Nirmala UI Semilight"/>
          <w:b/>
          <w:bCs/>
        </w:rPr>
        <w:t>Discussion Topics</w:t>
      </w:r>
    </w:p>
    <w:p w14:paraId="7329A1D3" w14:textId="77777777" w:rsidR="000F672D" w:rsidRDefault="000F672D" w:rsidP="000F672D">
      <w:pPr>
        <w:pStyle w:val="ListParagraph"/>
        <w:numPr>
          <w:ilvl w:val="0"/>
          <w:numId w:val="22"/>
        </w:numPr>
        <w:spacing w:after="0"/>
        <w:jc w:val="left"/>
        <w:rPr>
          <w:rFonts w:ascii="Nirmala UI Semilight" w:hAnsi="Nirmala UI Semilight" w:cs="Nirmala UI Semilight"/>
        </w:rPr>
      </w:pPr>
      <w:r w:rsidRPr="0BF94030">
        <w:rPr>
          <w:rFonts w:ascii="Nirmala UI Semilight" w:hAnsi="Nirmala UI Semilight" w:cs="Nirmala UI Semilight"/>
          <w:b/>
          <w:bCs/>
        </w:rPr>
        <w:t>Agenda Overview</w:t>
      </w:r>
      <w:r w:rsidRPr="0BF94030">
        <w:rPr>
          <w:rFonts w:ascii="Nirmala UI Semilight" w:hAnsi="Nirmala UI Semilight" w:cs="Nirmala UI Semilight"/>
        </w:rPr>
        <w:t xml:space="preserve"> </w:t>
      </w:r>
    </w:p>
    <w:p w14:paraId="1F31FF29" w14:textId="77777777" w:rsidR="000F672D" w:rsidRDefault="000F672D" w:rsidP="000F672D">
      <w:pPr>
        <w:pStyle w:val="ListParagraph"/>
        <w:numPr>
          <w:ilvl w:val="0"/>
          <w:numId w:val="22"/>
        </w:numPr>
        <w:spacing w:after="0"/>
        <w:jc w:val="left"/>
        <w:rPr>
          <w:rFonts w:ascii="Nirmala UI Semilight" w:hAnsi="Nirmala UI Semilight" w:cs="Nirmala UI Semilight"/>
          <w:b/>
          <w:bCs/>
        </w:rPr>
      </w:pPr>
      <w:r w:rsidRPr="1D29F922">
        <w:rPr>
          <w:rFonts w:ascii="Nirmala UI Semilight" w:hAnsi="Nirmala UI Semilight" w:cs="Nirmala UI Semilight"/>
          <w:b/>
          <w:bCs/>
        </w:rPr>
        <w:t xml:space="preserve">Non-Task Force Proposals Endorsement </w:t>
      </w:r>
      <w:r>
        <w:rPr>
          <w:rFonts w:ascii="Nirmala UI Semilight" w:hAnsi="Nirmala UI Semilight" w:cs="Nirmala UI Semilight"/>
          <w:b/>
          <w:bCs/>
        </w:rPr>
        <w:t xml:space="preserve">&amp; Updates </w:t>
      </w:r>
    </w:p>
    <w:p w14:paraId="5C1683C3" w14:textId="77777777" w:rsidR="000F672D" w:rsidRDefault="000F672D" w:rsidP="000F672D">
      <w:pPr>
        <w:pStyle w:val="ListParagraph"/>
        <w:numPr>
          <w:ilvl w:val="1"/>
          <w:numId w:val="22"/>
        </w:numPr>
        <w:spacing w:after="0"/>
        <w:jc w:val="left"/>
        <w:rPr>
          <w:rFonts w:ascii="Nirmala UI Semilight" w:hAnsi="Nirmala UI Semilight" w:cs="Nirmala UI Semilight"/>
          <w:i/>
          <w:iCs/>
        </w:rPr>
      </w:pPr>
      <w:r>
        <w:rPr>
          <w:rFonts w:ascii="Nirmala UI Semilight" w:hAnsi="Nirmala UI Semilight" w:cs="Nirmala UI Semilight"/>
          <w:i/>
          <w:iCs/>
          <w:u w:val="single"/>
        </w:rPr>
        <w:t xml:space="preserve">Update on </w:t>
      </w:r>
      <w:r w:rsidRPr="00502B8C">
        <w:rPr>
          <w:rFonts w:ascii="Nirmala UI Semilight" w:hAnsi="Nirmala UI Semilight" w:cs="Nirmala UI Semilight"/>
          <w:i/>
          <w:iCs/>
          <w:u w:val="single"/>
        </w:rPr>
        <w:t>2024-NTFP-</w:t>
      </w:r>
      <w:r>
        <w:rPr>
          <w:rFonts w:ascii="Nirmala UI Semilight" w:hAnsi="Nirmala UI Semilight" w:cs="Nirmala UI Semilight"/>
          <w:i/>
          <w:iCs/>
          <w:u w:val="single"/>
        </w:rPr>
        <w:t>0</w:t>
      </w:r>
      <w:r w:rsidRPr="00502B8C">
        <w:rPr>
          <w:rFonts w:ascii="Nirmala UI Semilight" w:hAnsi="Nirmala UI Semilight" w:cs="Nirmala UI Semilight"/>
          <w:i/>
          <w:iCs/>
          <w:u w:val="single"/>
        </w:rPr>
        <w:t>5 (BPM 209</w:t>
      </w:r>
      <w:r>
        <w:rPr>
          <w:rFonts w:ascii="Nirmala UI Semilight" w:hAnsi="Nirmala UI Semilight" w:cs="Nirmala UI Semilight"/>
          <w:i/>
          <w:iCs/>
          <w:u w:val="single"/>
        </w:rPr>
        <w:t>: Definitions for Generation and Transmission Facility</w:t>
      </w:r>
      <w:r w:rsidRPr="00502B8C">
        <w:rPr>
          <w:rFonts w:ascii="Nirmala UI Semilight" w:hAnsi="Nirmala UI Semilight" w:cs="Nirmala UI Semilight"/>
          <w:i/>
          <w:iCs/>
          <w:u w:val="single"/>
        </w:rPr>
        <w:t>)</w:t>
      </w:r>
      <w:r>
        <w:rPr>
          <w:rFonts w:ascii="Nirmala UI Semilight" w:hAnsi="Nirmala UI Semilight" w:cs="Nirmala UI Semilight"/>
          <w:i/>
          <w:iCs/>
        </w:rPr>
        <w:t xml:space="preserve">: </w:t>
      </w:r>
    </w:p>
    <w:p w14:paraId="66C9AEB2" w14:textId="77777777" w:rsidR="000F672D" w:rsidRDefault="000F672D" w:rsidP="00C41AFE">
      <w:pPr>
        <w:pStyle w:val="ListParagraph"/>
        <w:numPr>
          <w:ilvl w:val="0"/>
          <w:numId w:val="75"/>
        </w:numPr>
        <w:spacing w:after="0"/>
        <w:jc w:val="left"/>
        <w:rPr>
          <w:rFonts w:ascii="Nirmala UI Semilight" w:hAnsi="Nirmala UI Semilight" w:cs="Nirmala UI Semilight"/>
          <w:i/>
          <w:iCs/>
        </w:rPr>
      </w:pPr>
      <w:r>
        <w:rPr>
          <w:rFonts w:ascii="Nirmala UI Semilight" w:hAnsi="Nirmala UI Semilight" w:cs="Nirmala UI Semilight"/>
          <w:i/>
          <w:iCs/>
        </w:rPr>
        <w:lastRenderedPageBreak/>
        <w:t xml:space="preserve">SRP, the lead sponsor, withdrew 2024-NTFP-05.  </w:t>
      </w:r>
    </w:p>
    <w:p w14:paraId="623FE137" w14:textId="77777777" w:rsidR="000F672D" w:rsidRDefault="000F672D" w:rsidP="00C41AFE">
      <w:pPr>
        <w:pStyle w:val="ListParagraph"/>
        <w:numPr>
          <w:ilvl w:val="0"/>
          <w:numId w:val="75"/>
        </w:numPr>
        <w:spacing w:after="0"/>
        <w:jc w:val="left"/>
        <w:rPr>
          <w:rFonts w:ascii="Nirmala UI Semilight" w:hAnsi="Nirmala UI Semilight" w:cs="Nirmala UI Semilight"/>
          <w:i/>
          <w:iCs/>
        </w:rPr>
      </w:pPr>
      <w:r>
        <w:rPr>
          <w:rFonts w:ascii="Nirmala UI Semilight" w:hAnsi="Nirmala UI Semilight" w:cs="Nirmala UI Semilight"/>
          <w:i/>
          <w:iCs/>
        </w:rPr>
        <w:t xml:space="preserve">Agree with BPA’s comment submitted and need to do some re-thinking before moving forward.  </w:t>
      </w:r>
    </w:p>
    <w:p w14:paraId="47AFF32A" w14:textId="77777777" w:rsidR="000F672D" w:rsidRDefault="000F672D" w:rsidP="00C41AFE">
      <w:pPr>
        <w:pStyle w:val="ListParagraph"/>
        <w:numPr>
          <w:ilvl w:val="0"/>
          <w:numId w:val="75"/>
        </w:numPr>
        <w:spacing w:after="0"/>
        <w:jc w:val="left"/>
        <w:rPr>
          <w:rFonts w:ascii="Nirmala UI Semilight" w:hAnsi="Nirmala UI Semilight" w:cs="Nirmala UI Semilight"/>
          <w:i/>
          <w:iCs/>
        </w:rPr>
      </w:pPr>
      <w:r>
        <w:rPr>
          <w:rFonts w:ascii="Nirmala UI Semilight" w:hAnsi="Nirmala UI Semilight" w:cs="Nirmala UI Semilight"/>
          <w:i/>
          <w:iCs/>
        </w:rPr>
        <w:t xml:space="preserve">SRP may reach out to some participants to see if can determine language that works for all interested parties. </w:t>
      </w:r>
    </w:p>
    <w:p w14:paraId="44107996" w14:textId="77777777" w:rsidR="000F672D" w:rsidRDefault="000F672D" w:rsidP="00C41AFE">
      <w:pPr>
        <w:pStyle w:val="ListParagraph"/>
        <w:numPr>
          <w:ilvl w:val="0"/>
          <w:numId w:val="75"/>
        </w:numPr>
        <w:spacing w:after="0"/>
        <w:jc w:val="left"/>
        <w:rPr>
          <w:rFonts w:ascii="Nirmala UI Semilight" w:hAnsi="Nirmala UI Semilight" w:cs="Nirmala UI Semilight"/>
          <w:i/>
          <w:iCs/>
        </w:rPr>
      </w:pPr>
      <w:r>
        <w:rPr>
          <w:rFonts w:ascii="Nirmala UI Semilight" w:hAnsi="Nirmala UI Semilight" w:cs="Nirmala UI Semilight"/>
          <w:i/>
          <w:iCs/>
        </w:rPr>
        <w:t xml:space="preserve">Will likely revisit and resubmit as an NTFP or submit for next year as a concept. </w:t>
      </w:r>
    </w:p>
    <w:p w14:paraId="552A589D" w14:textId="77777777" w:rsidR="000F672D" w:rsidRPr="00A91C8A" w:rsidRDefault="000F672D" w:rsidP="00A91C8A">
      <w:pPr>
        <w:spacing w:after="0"/>
        <w:rPr>
          <w:rFonts w:ascii="Nirmala UI Semilight" w:hAnsi="Nirmala UI Semilight" w:cs="Nirmala UI Semilight"/>
          <w:i/>
          <w:iCs/>
        </w:rPr>
      </w:pPr>
    </w:p>
    <w:p w14:paraId="54966BC1" w14:textId="77777777" w:rsidR="000F672D" w:rsidRPr="00F61AD7" w:rsidRDefault="000F672D" w:rsidP="000F672D">
      <w:pPr>
        <w:pStyle w:val="ListParagraph"/>
        <w:numPr>
          <w:ilvl w:val="1"/>
          <w:numId w:val="22"/>
        </w:numPr>
        <w:spacing w:after="0"/>
        <w:jc w:val="left"/>
        <w:rPr>
          <w:rFonts w:ascii="Nirmala UI Semilight" w:hAnsi="Nirmala UI Semilight" w:cs="Nirmala UI Semilight"/>
          <w:u w:val="single"/>
        </w:rPr>
      </w:pPr>
      <w:r w:rsidRPr="00F61AD7">
        <w:rPr>
          <w:rFonts w:ascii="Nirmala UI Semilight" w:hAnsi="Nirmala UI Semilight" w:cs="Nirmala UI Semilight"/>
          <w:u w:val="single"/>
        </w:rPr>
        <w:t>Endorsement of 2024-NTFP-</w:t>
      </w:r>
      <w:r>
        <w:rPr>
          <w:rFonts w:ascii="Nirmala UI Semilight" w:hAnsi="Nirmala UI Semilight" w:cs="Nirmala UI Semilight"/>
          <w:u w:val="single"/>
        </w:rPr>
        <w:t>0</w:t>
      </w:r>
      <w:r w:rsidRPr="00F61AD7">
        <w:rPr>
          <w:rFonts w:ascii="Nirmala UI Semilight" w:hAnsi="Nirmala UI Semilight" w:cs="Nirmala UI Semilight"/>
          <w:u w:val="single"/>
        </w:rPr>
        <w:t xml:space="preserve">2 (BPM Changes due to 2024-EP-1/Revised Transition Plan): </w:t>
      </w:r>
    </w:p>
    <w:p w14:paraId="29B0BA75" w14:textId="77777777" w:rsidR="000F672D" w:rsidRPr="00BB084C" w:rsidRDefault="000F672D" w:rsidP="000F672D">
      <w:pPr>
        <w:pStyle w:val="ListParagraph"/>
        <w:spacing w:after="0"/>
        <w:ind w:left="1440"/>
        <w:rPr>
          <w:rFonts w:ascii="Nirmala UI Semilight" w:hAnsi="Nirmala UI Semilight" w:cs="Nirmala UI Semilight"/>
          <w:u w:val="single"/>
        </w:rPr>
      </w:pPr>
    </w:p>
    <w:p w14:paraId="7BEDF131" w14:textId="77777777" w:rsidR="000F672D" w:rsidRDefault="000F672D" w:rsidP="00C41AFE">
      <w:pPr>
        <w:pStyle w:val="ListParagraph"/>
        <w:numPr>
          <w:ilvl w:val="0"/>
          <w:numId w:val="76"/>
        </w:numPr>
        <w:spacing w:after="0"/>
        <w:jc w:val="left"/>
        <w:rPr>
          <w:rFonts w:ascii="Nirmala UI Semilight" w:hAnsi="Nirmala UI Semilight" w:cs="Nirmala UI Semilight"/>
          <w:i/>
          <w:iCs/>
          <w:u w:val="single"/>
        </w:rPr>
      </w:pPr>
      <w:r>
        <w:rPr>
          <w:rFonts w:ascii="Nirmala UI Semilight" w:hAnsi="Nirmala UI Semilight" w:cs="Nirmala UI Semilight"/>
          <w:i/>
          <w:iCs/>
          <w:u w:val="single"/>
        </w:rPr>
        <w:t>Lead Sponsor:</w:t>
      </w:r>
      <w:r w:rsidRPr="00F61AD7">
        <w:rPr>
          <w:rFonts w:ascii="Nirmala UI Semilight" w:hAnsi="Nirmala UI Semilight" w:cs="Nirmala UI Semilight"/>
          <w:i/>
          <w:iCs/>
        </w:rPr>
        <w:t xml:space="preserve"> WPP</w:t>
      </w:r>
      <w:r>
        <w:rPr>
          <w:rFonts w:ascii="Nirmala UI Semilight" w:hAnsi="Nirmala UI Semilight" w:cs="Nirmala UI Semilight"/>
          <w:i/>
          <w:iCs/>
          <w:u w:val="single"/>
        </w:rPr>
        <w:t xml:space="preserve"> </w:t>
      </w:r>
    </w:p>
    <w:p w14:paraId="724AEB12" w14:textId="77777777" w:rsidR="000F672D" w:rsidRPr="00B22B86" w:rsidRDefault="000F672D" w:rsidP="00C41AFE">
      <w:pPr>
        <w:pStyle w:val="ListParagraph"/>
        <w:numPr>
          <w:ilvl w:val="0"/>
          <w:numId w:val="76"/>
        </w:numPr>
        <w:spacing w:after="0"/>
        <w:jc w:val="left"/>
        <w:rPr>
          <w:rFonts w:ascii="Nirmala UI Semilight" w:hAnsi="Nirmala UI Semilight" w:cs="Nirmala UI Semilight"/>
          <w:i/>
          <w:iCs/>
          <w:u w:val="single"/>
        </w:rPr>
      </w:pPr>
      <w:r>
        <w:rPr>
          <w:rFonts w:ascii="Nirmala UI Semilight" w:hAnsi="Nirmala UI Semilight" w:cs="Nirmala UI Semilight"/>
          <w:i/>
          <w:iCs/>
          <w:u w:val="single"/>
        </w:rPr>
        <w:t>Status Update:</w:t>
      </w:r>
      <w:r w:rsidRPr="00B22B86">
        <w:rPr>
          <w:rFonts w:ascii="Nirmala UI Semilight" w:hAnsi="Nirmala UI Semilight" w:cs="Nirmala UI Semilight"/>
          <w:i/>
          <w:iCs/>
          <w:u w:val="single"/>
        </w:rPr>
        <w:t xml:space="preserve"> </w:t>
      </w:r>
    </w:p>
    <w:p w14:paraId="3F28FE8F" w14:textId="77777777" w:rsidR="000F672D" w:rsidRDefault="000F672D" w:rsidP="00C41AFE">
      <w:pPr>
        <w:pStyle w:val="ListParagraph"/>
        <w:numPr>
          <w:ilvl w:val="1"/>
          <w:numId w:val="76"/>
        </w:numPr>
        <w:spacing w:after="0"/>
        <w:jc w:val="left"/>
        <w:rPr>
          <w:rFonts w:ascii="Nirmala UI Semilight" w:hAnsi="Nirmala UI Semilight" w:cs="Nirmala UI Semilight"/>
          <w:i/>
          <w:iCs/>
        </w:rPr>
      </w:pPr>
      <w:r>
        <w:rPr>
          <w:rFonts w:ascii="Nirmala UI Semilight" w:hAnsi="Nirmala UI Semilight" w:cs="Nirmala UI Semilight"/>
          <w:i/>
          <w:iCs/>
        </w:rPr>
        <w:t>On January 15</w:t>
      </w:r>
      <w:r w:rsidRPr="00A64BB7">
        <w:rPr>
          <w:rFonts w:ascii="Nirmala UI Semilight" w:hAnsi="Nirmala UI Semilight" w:cs="Nirmala UI Semilight"/>
          <w:i/>
          <w:iCs/>
          <w:vertAlign w:val="superscript"/>
        </w:rPr>
        <w:t>th</w:t>
      </w:r>
      <w:r>
        <w:rPr>
          <w:rFonts w:ascii="Nirmala UI Semilight" w:hAnsi="Nirmala UI Semilight" w:cs="Nirmala UI Semilight"/>
          <w:i/>
          <w:iCs/>
        </w:rPr>
        <w:t xml:space="preserve">, the PRC decided was ready to go out to public comment (1/15 – 1/29). </w:t>
      </w:r>
    </w:p>
    <w:p w14:paraId="22BA98E1" w14:textId="77777777" w:rsidR="000F672D" w:rsidRDefault="000F672D" w:rsidP="00C41AFE">
      <w:pPr>
        <w:pStyle w:val="ListParagraph"/>
        <w:numPr>
          <w:ilvl w:val="1"/>
          <w:numId w:val="76"/>
        </w:numPr>
        <w:spacing w:after="0"/>
        <w:jc w:val="left"/>
        <w:rPr>
          <w:rFonts w:ascii="Nirmala UI Semilight" w:hAnsi="Nirmala UI Semilight" w:cs="Nirmala UI Semilight"/>
          <w:i/>
          <w:iCs/>
        </w:rPr>
      </w:pPr>
      <w:r>
        <w:rPr>
          <w:rFonts w:ascii="Nirmala UI Semilight" w:hAnsi="Nirmala UI Semilight" w:cs="Nirmala UI Semilight"/>
          <w:i/>
          <w:iCs/>
        </w:rPr>
        <w:t xml:space="preserve">Following public comment, sent to COSR who not to comment on it (2/3 – 2/14). </w:t>
      </w:r>
    </w:p>
    <w:p w14:paraId="6B87BCE9" w14:textId="77777777" w:rsidR="000F672D" w:rsidRDefault="000F672D" w:rsidP="000F672D">
      <w:pPr>
        <w:pStyle w:val="ListParagraph"/>
        <w:spacing w:after="0"/>
        <w:ind w:left="2520"/>
        <w:rPr>
          <w:rFonts w:ascii="Nirmala UI Semilight" w:hAnsi="Nirmala UI Semilight" w:cs="Nirmala UI Semilight"/>
          <w:i/>
          <w:iCs/>
        </w:rPr>
      </w:pPr>
    </w:p>
    <w:p w14:paraId="51673A4B" w14:textId="77777777" w:rsidR="000F672D" w:rsidRDefault="000F672D" w:rsidP="000F672D">
      <w:pPr>
        <w:pStyle w:val="ListParagraph"/>
        <w:spacing w:after="0"/>
        <w:ind w:left="2520"/>
        <w:rPr>
          <w:rFonts w:ascii="Nirmala UI Semilight" w:hAnsi="Nirmala UI Semilight" w:cs="Nirmala UI Semilight"/>
          <w:i/>
          <w:iCs/>
        </w:rPr>
      </w:pPr>
      <w:r w:rsidRPr="00CC5383">
        <w:rPr>
          <w:rFonts w:ascii="Nirmala UI Semilight" w:hAnsi="Nirmala UI Semilight" w:cs="Nirmala UI Semilight"/>
          <w:b/>
          <w:bCs/>
          <w:i/>
          <w:iCs/>
        </w:rPr>
        <w:t>2024-NTFP -2 impacts the below BPMs</w:t>
      </w:r>
      <w:r>
        <w:rPr>
          <w:rFonts w:ascii="Nirmala UI Semilight" w:hAnsi="Nirmala UI Semilight" w:cs="Nirmala UI Semilight"/>
          <w:i/>
          <w:iCs/>
        </w:rPr>
        <w:t xml:space="preserve">: </w:t>
      </w:r>
    </w:p>
    <w:p w14:paraId="00342EA2" w14:textId="77777777" w:rsidR="000F672D" w:rsidRPr="00741310" w:rsidRDefault="000F672D" w:rsidP="00C41AFE">
      <w:pPr>
        <w:pStyle w:val="ListParagraph"/>
        <w:numPr>
          <w:ilvl w:val="0"/>
          <w:numId w:val="83"/>
        </w:numPr>
        <w:spacing w:after="0" w:line="259" w:lineRule="auto"/>
        <w:jc w:val="left"/>
        <w:rPr>
          <w:rFonts w:ascii="Nirmala UI Semilight" w:hAnsi="Nirmala UI Semilight" w:cs="Nirmala UI Semilight"/>
          <w:i/>
          <w:iCs/>
        </w:rPr>
      </w:pPr>
      <w:r w:rsidRPr="00741310">
        <w:rPr>
          <w:rFonts w:ascii="Nirmala UI Semilight" w:hAnsi="Nirmala UI Semilight" w:cs="Nirmala UI Semilight"/>
          <w:i/>
          <w:iCs/>
        </w:rPr>
        <w:t>BPM 107 Forward Showing Deficiency Charge</w:t>
      </w:r>
    </w:p>
    <w:p w14:paraId="6CEDB917" w14:textId="77777777" w:rsidR="000F672D" w:rsidRPr="00741310" w:rsidRDefault="000F672D" w:rsidP="00C41AFE">
      <w:pPr>
        <w:pStyle w:val="ListParagraph"/>
        <w:numPr>
          <w:ilvl w:val="0"/>
          <w:numId w:val="83"/>
        </w:numPr>
        <w:spacing w:after="0" w:line="259" w:lineRule="auto"/>
        <w:jc w:val="left"/>
        <w:rPr>
          <w:rFonts w:ascii="Nirmala UI Semilight" w:hAnsi="Nirmala UI Semilight" w:cs="Nirmala UI Semilight"/>
          <w:i/>
          <w:iCs/>
        </w:rPr>
      </w:pPr>
      <w:r w:rsidRPr="00741310">
        <w:rPr>
          <w:rFonts w:ascii="Nirmala UI Semilight" w:hAnsi="Nirmala UI Semilight" w:cs="Nirmala UI Semilight"/>
          <w:i/>
          <w:iCs/>
        </w:rPr>
        <w:t>BPM 109 Forward Showing Transition Period</w:t>
      </w:r>
    </w:p>
    <w:p w14:paraId="76E2A90E" w14:textId="77777777" w:rsidR="000F672D" w:rsidRPr="00741310" w:rsidRDefault="000F672D" w:rsidP="00C41AFE">
      <w:pPr>
        <w:pStyle w:val="ListParagraph"/>
        <w:numPr>
          <w:ilvl w:val="0"/>
          <w:numId w:val="83"/>
        </w:numPr>
        <w:spacing w:after="0" w:line="259" w:lineRule="auto"/>
        <w:jc w:val="left"/>
        <w:rPr>
          <w:rFonts w:ascii="Nirmala UI Semilight" w:hAnsi="Nirmala UI Semilight" w:cs="Nirmala UI Semilight"/>
          <w:i/>
          <w:iCs/>
        </w:rPr>
      </w:pPr>
      <w:r w:rsidRPr="00741310">
        <w:rPr>
          <w:rFonts w:ascii="Nirmala UI Semilight" w:hAnsi="Nirmala UI Semilight" w:cs="Nirmala UI Semilight"/>
          <w:i/>
          <w:iCs/>
        </w:rPr>
        <w:t>BPM 206 Settlement Pricing</w:t>
      </w:r>
    </w:p>
    <w:p w14:paraId="707C767E" w14:textId="77777777" w:rsidR="000F672D" w:rsidRPr="00741310" w:rsidRDefault="000F672D" w:rsidP="00C41AFE">
      <w:pPr>
        <w:pStyle w:val="ListParagraph"/>
        <w:numPr>
          <w:ilvl w:val="0"/>
          <w:numId w:val="83"/>
        </w:numPr>
        <w:spacing w:after="0" w:line="259" w:lineRule="auto"/>
        <w:jc w:val="left"/>
        <w:rPr>
          <w:rFonts w:ascii="Nirmala UI Semilight" w:hAnsi="Nirmala UI Semilight" w:cs="Nirmala UI Semilight"/>
          <w:i/>
          <w:iCs/>
        </w:rPr>
      </w:pPr>
      <w:r w:rsidRPr="00741310">
        <w:rPr>
          <w:rFonts w:ascii="Nirmala UI Semilight" w:hAnsi="Nirmala UI Semilight" w:cs="Nirmala UI Semilight"/>
          <w:i/>
          <w:iCs/>
        </w:rPr>
        <w:t>BPM 210 Operations Program Transition Period</w:t>
      </w:r>
    </w:p>
    <w:p w14:paraId="71DABC14" w14:textId="77777777" w:rsidR="000F672D" w:rsidRPr="00741310" w:rsidRDefault="000F672D" w:rsidP="00C41AFE">
      <w:pPr>
        <w:pStyle w:val="ListParagraph"/>
        <w:numPr>
          <w:ilvl w:val="0"/>
          <w:numId w:val="83"/>
        </w:numPr>
        <w:spacing w:after="0" w:line="259" w:lineRule="auto"/>
        <w:jc w:val="left"/>
        <w:rPr>
          <w:rFonts w:ascii="Nirmala UI Semilight" w:hAnsi="Nirmala UI Semilight" w:cs="Nirmala UI Semilight"/>
          <w:i/>
          <w:iCs/>
        </w:rPr>
      </w:pPr>
      <w:r w:rsidRPr="00741310">
        <w:rPr>
          <w:rFonts w:ascii="Nirmala UI Semilight" w:hAnsi="Nirmala UI Semilight" w:cs="Nirmala UI Semilight"/>
          <w:i/>
          <w:iCs/>
        </w:rPr>
        <w:t>BPM 301 Workplan Development and Approval</w:t>
      </w:r>
    </w:p>
    <w:p w14:paraId="6F6E324A" w14:textId="77777777" w:rsidR="000F672D" w:rsidRPr="00741310" w:rsidRDefault="000F672D" w:rsidP="00C41AFE">
      <w:pPr>
        <w:pStyle w:val="ListParagraph"/>
        <w:numPr>
          <w:ilvl w:val="0"/>
          <w:numId w:val="83"/>
        </w:numPr>
        <w:spacing w:after="0" w:line="259" w:lineRule="auto"/>
        <w:jc w:val="left"/>
        <w:rPr>
          <w:rFonts w:ascii="Nirmala UI Semilight" w:hAnsi="Nirmala UI Semilight" w:cs="Nirmala UI Semilight"/>
          <w:i/>
          <w:iCs/>
        </w:rPr>
      </w:pPr>
      <w:r w:rsidRPr="00741310">
        <w:rPr>
          <w:rFonts w:ascii="Nirmala UI Semilight" w:hAnsi="Nirmala UI Semilight" w:cs="Nirmala UI Semilight"/>
          <w:i/>
          <w:iCs/>
        </w:rPr>
        <w:t>BPM 401 New Participant Onboarding</w:t>
      </w:r>
    </w:p>
    <w:p w14:paraId="718C37CB" w14:textId="77777777" w:rsidR="000F672D" w:rsidRPr="00A000A1" w:rsidRDefault="000F672D" w:rsidP="000F672D">
      <w:pPr>
        <w:pStyle w:val="ListParagraph"/>
        <w:spacing w:after="0"/>
        <w:ind w:left="2520"/>
        <w:rPr>
          <w:rFonts w:ascii="Nirmala UI Semilight" w:hAnsi="Nirmala UI Semilight" w:cs="Nirmala UI Semilight"/>
          <w:i/>
          <w:iCs/>
        </w:rPr>
      </w:pPr>
      <w:r>
        <w:rPr>
          <w:rFonts w:ascii="Nirmala UI Semilight" w:hAnsi="Nirmala UI Semilight" w:cs="Nirmala UI Semilight"/>
          <w:i/>
          <w:iCs/>
        </w:rPr>
        <w:t xml:space="preserve"> </w:t>
      </w:r>
    </w:p>
    <w:p w14:paraId="2B454AC7" w14:textId="77777777" w:rsidR="000F672D" w:rsidRDefault="000F672D" w:rsidP="000F672D">
      <w:pPr>
        <w:pStyle w:val="ListParagraph"/>
        <w:spacing w:after="0"/>
        <w:ind w:left="2520"/>
        <w:rPr>
          <w:rFonts w:ascii="Nirmala UI Semilight" w:hAnsi="Nirmala UI Semilight" w:cs="Nirmala UI Semilight"/>
          <w:i/>
          <w:iCs/>
        </w:rPr>
      </w:pPr>
      <w:r w:rsidRPr="00CC5383">
        <w:rPr>
          <w:rFonts w:ascii="Nirmala UI Semilight" w:hAnsi="Nirmala UI Semilight" w:cs="Nirmala UI Semilight"/>
          <w:b/>
          <w:bCs/>
          <w:i/>
          <w:iCs/>
        </w:rPr>
        <w:t>If endorsed, below are the next steps</w:t>
      </w:r>
      <w:r>
        <w:rPr>
          <w:rFonts w:ascii="Nirmala UI Semilight" w:hAnsi="Nirmala UI Semilight" w:cs="Nirmala UI Semilight"/>
          <w:i/>
          <w:iCs/>
        </w:rPr>
        <w:t xml:space="preserve">: </w:t>
      </w:r>
    </w:p>
    <w:p w14:paraId="1C527AA7" w14:textId="77777777" w:rsidR="000F672D" w:rsidRDefault="000F672D" w:rsidP="00C41AFE">
      <w:pPr>
        <w:pStyle w:val="ListParagraph"/>
        <w:numPr>
          <w:ilvl w:val="0"/>
          <w:numId w:val="83"/>
        </w:numPr>
        <w:spacing w:after="0" w:line="259" w:lineRule="auto"/>
        <w:jc w:val="left"/>
        <w:rPr>
          <w:rFonts w:ascii="Nirmala UI Semilight" w:hAnsi="Nirmala UI Semilight" w:cs="Nirmala UI Semilight"/>
          <w:i/>
          <w:iCs/>
        </w:rPr>
      </w:pPr>
      <w:r>
        <w:rPr>
          <w:rFonts w:ascii="Nirmala UI Semilight" w:hAnsi="Nirmala UI Semilight" w:cs="Nirmala UI Semilight"/>
          <w:i/>
          <w:iCs/>
        </w:rPr>
        <w:t xml:space="preserve">2/27: RAPC will review </w:t>
      </w:r>
    </w:p>
    <w:p w14:paraId="233821A6" w14:textId="77777777" w:rsidR="000F672D" w:rsidRDefault="000F672D" w:rsidP="00C41AFE">
      <w:pPr>
        <w:pStyle w:val="ListParagraph"/>
        <w:numPr>
          <w:ilvl w:val="0"/>
          <w:numId w:val="83"/>
        </w:numPr>
        <w:spacing w:after="0" w:line="259" w:lineRule="auto"/>
        <w:jc w:val="left"/>
        <w:rPr>
          <w:rFonts w:ascii="Nirmala UI Semilight" w:hAnsi="Nirmala UI Semilight" w:cs="Nirmala UI Semilight"/>
          <w:i/>
          <w:iCs/>
        </w:rPr>
      </w:pPr>
      <w:r>
        <w:rPr>
          <w:rFonts w:ascii="Nirmala UI Semilight" w:hAnsi="Nirmala UI Semilight" w:cs="Nirmala UI Semilight"/>
          <w:i/>
          <w:iCs/>
        </w:rPr>
        <w:t xml:space="preserve">3/6: CSOR to review if significant changes are made and oppose </w:t>
      </w:r>
    </w:p>
    <w:p w14:paraId="3B6FB3FF" w14:textId="77777777" w:rsidR="000F672D" w:rsidRDefault="000F672D" w:rsidP="00C41AFE">
      <w:pPr>
        <w:pStyle w:val="ListParagraph"/>
        <w:numPr>
          <w:ilvl w:val="0"/>
          <w:numId w:val="83"/>
        </w:numPr>
        <w:spacing w:after="0" w:line="259" w:lineRule="auto"/>
        <w:jc w:val="left"/>
        <w:rPr>
          <w:rFonts w:ascii="Nirmala UI Semilight" w:hAnsi="Nirmala UI Semilight" w:cs="Nirmala UI Semilight"/>
          <w:i/>
          <w:iCs/>
        </w:rPr>
      </w:pPr>
      <w:r>
        <w:rPr>
          <w:rFonts w:ascii="Nirmala UI Semilight" w:hAnsi="Nirmala UI Semilight" w:cs="Nirmala UI Semilight"/>
          <w:i/>
          <w:iCs/>
        </w:rPr>
        <w:t>3/6: Final version sent to the Board to review</w:t>
      </w:r>
    </w:p>
    <w:p w14:paraId="47591D8B" w14:textId="77777777" w:rsidR="000F672D" w:rsidRDefault="000F672D" w:rsidP="00C41AFE">
      <w:pPr>
        <w:pStyle w:val="ListParagraph"/>
        <w:numPr>
          <w:ilvl w:val="0"/>
          <w:numId w:val="83"/>
        </w:numPr>
        <w:spacing w:after="0" w:line="259" w:lineRule="auto"/>
        <w:jc w:val="left"/>
        <w:rPr>
          <w:rFonts w:ascii="Nirmala UI Semilight" w:hAnsi="Nirmala UI Semilight" w:cs="Nirmala UI Semilight"/>
          <w:i/>
          <w:iCs/>
        </w:rPr>
      </w:pPr>
      <w:r>
        <w:rPr>
          <w:rFonts w:ascii="Nirmala UI Semilight" w:hAnsi="Nirmala UI Semilight" w:cs="Nirmala UI Semilight"/>
          <w:i/>
          <w:iCs/>
        </w:rPr>
        <w:t xml:space="preserve">3/13: Targeted Board Approval  </w:t>
      </w:r>
    </w:p>
    <w:p w14:paraId="40CF4A84" w14:textId="77777777" w:rsidR="000F672D" w:rsidRDefault="000F672D" w:rsidP="000F672D">
      <w:pPr>
        <w:pStyle w:val="ListParagraph"/>
        <w:spacing w:after="0"/>
        <w:ind w:left="1800"/>
        <w:rPr>
          <w:rFonts w:ascii="Nirmala UI Semilight" w:hAnsi="Nirmala UI Semilight" w:cs="Nirmala UI Semilight"/>
          <w:i/>
          <w:iCs/>
        </w:rPr>
      </w:pPr>
    </w:p>
    <w:p w14:paraId="6B6A8ECE" w14:textId="77777777" w:rsidR="000F672D" w:rsidRDefault="000F672D" w:rsidP="00C41AFE">
      <w:pPr>
        <w:pStyle w:val="ListParagraph"/>
        <w:numPr>
          <w:ilvl w:val="0"/>
          <w:numId w:val="77"/>
        </w:numPr>
        <w:spacing w:after="0"/>
        <w:jc w:val="left"/>
        <w:rPr>
          <w:rFonts w:ascii="Nirmala UI Semilight" w:hAnsi="Nirmala UI Semilight" w:cs="Nirmala UI Semilight"/>
          <w:i/>
          <w:iCs/>
        </w:rPr>
      </w:pPr>
      <w:r w:rsidRPr="00F6635D">
        <w:rPr>
          <w:rFonts w:ascii="Nirmala UI Semilight" w:hAnsi="Nirmala UI Semilight" w:cs="Nirmala UI Semilight"/>
          <w:i/>
          <w:iCs/>
          <w:u w:val="single"/>
        </w:rPr>
        <w:t>Edit to BPM 109, Section 3, page 5.</w:t>
      </w:r>
      <w:r>
        <w:rPr>
          <w:rFonts w:ascii="Nirmala UI Semilight" w:hAnsi="Nirmala UI Semilight" w:cs="Nirmala UI Semilight"/>
          <w:i/>
          <w:iCs/>
        </w:rPr>
        <w:t xml:space="preserve"> </w:t>
      </w:r>
    </w:p>
    <w:p w14:paraId="71F56168" w14:textId="77777777" w:rsidR="000F672D" w:rsidRDefault="000F672D" w:rsidP="00C41AFE">
      <w:pPr>
        <w:pStyle w:val="ListParagraph"/>
        <w:numPr>
          <w:ilvl w:val="1"/>
          <w:numId w:val="84"/>
        </w:numPr>
        <w:spacing w:after="0"/>
        <w:jc w:val="left"/>
        <w:rPr>
          <w:rFonts w:ascii="Nirmala UI Semilight" w:hAnsi="Nirmala UI Semilight" w:cs="Nirmala UI Semilight"/>
          <w:i/>
          <w:iCs/>
        </w:rPr>
      </w:pPr>
      <w:r w:rsidRPr="00F6635D">
        <w:rPr>
          <w:rFonts w:ascii="Nirmala UI Semilight" w:hAnsi="Nirmala UI Semilight" w:cs="Nirmala UI Semilight"/>
          <w:i/>
          <w:iCs/>
        </w:rPr>
        <w:t xml:space="preserve">PRC determined </w:t>
      </w:r>
      <w:r>
        <w:rPr>
          <w:rFonts w:ascii="Nirmala UI Semilight" w:hAnsi="Nirmala UI Semilight" w:cs="Nirmala UI Semilight"/>
          <w:i/>
          <w:iCs/>
        </w:rPr>
        <w:t xml:space="preserve">for WPP </w:t>
      </w:r>
      <w:r w:rsidRPr="00F6635D">
        <w:rPr>
          <w:rFonts w:ascii="Nirmala UI Semilight" w:hAnsi="Nirmala UI Semilight" w:cs="Nirmala UI Semilight"/>
          <w:i/>
          <w:iCs/>
        </w:rPr>
        <w:t xml:space="preserve">to </w:t>
      </w:r>
      <w:r>
        <w:rPr>
          <w:rFonts w:ascii="Nirmala UI Semilight" w:hAnsi="Nirmala UI Semilight" w:cs="Nirmala UI Semilight"/>
          <w:i/>
          <w:iCs/>
        </w:rPr>
        <w:t>investigate and change the l</w:t>
      </w:r>
      <w:r w:rsidRPr="00F6635D">
        <w:rPr>
          <w:rFonts w:ascii="Nirmala UI Semilight" w:hAnsi="Nirmala UI Semilight" w:cs="Nirmala UI Semilight"/>
          <w:i/>
          <w:iCs/>
        </w:rPr>
        <w:t>anguage</w:t>
      </w:r>
      <w:r>
        <w:rPr>
          <w:rFonts w:ascii="Nirmala UI Semilight" w:hAnsi="Nirmala UI Semilight" w:cs="Nirmala UI Semilight"/>
          <w:i/>
          <w:iCs/>
        </w:rPr>
        <w:t>:</w:t>
      </w:r>
    </w:p>
    <w:p w14:paraId="6DA6B443" w14:textId="77777777" w:rsidR="000F672D" w:rsidRDefault="000F672D" w:rsidP="00C41AFE">
      <w:pPr>
        <w:pStyle w:val="ListParagraph"/>
        <w:numPr>
          <w:ilvl w:val="2"/>
          <w:numId w:val="84"/>
        </w:numPr>
        <w:spacing w:after="0"/>
        <w:jc w:val="left"/>
        <w:rPr>
          <w:rFonts w:ascii="Nirmala UI Semilight" w:hAnsi="Nirmala UI Semilight" w:cs="Nirmala UI Semilight"/>
          <w:i/>
          <w:iCs/>
        </w:rPr>
      </w:pPr>
      <w:r w:rsidRPr="00F6635D">
        <w:rPr>
          <w:rFonts w:ascii="Nirmala UI Semilight" w:hAnsi="Nirmala UI Semilight" w:cs="Nirmala UI Semilight"/>
          <w:i/>
          <w:iCs/>
        </w:rPr>
        <w:t>“</w:t>
      </w:r>
      <w:r w:rsidRPr="00F53399">
        <w:rPr>
          <w:rFonts w:ascii="Nirmala UI Semilight" w:hAnsi="Nirmala UI Semilight" w:cs="Nirmala UI Semilight"/>
        </w:rPr>
        <w:t xml:space="preserve">WRAPA effective </w:t>
      </w:r>
      <w:r w:rsidRPr="00F53399">
        <w:rPr>
          <w:rFonts w:ascii="Nirmala UI Semilight" w:hAnsi="Nirmala UI Semilight" w:cs="Nirmala UI Semilight"/>
          <w:u w:val="single"/>
        </w:rPr>
        <w:t>by</w:t>
      </w:r>
      <w:r w:rsidRPr="00F53399">
        <w:rPr>
          <w:rFonts w:ascii="Nirmala UI Semilight" w:hAnsi="Nirmala UI Semilight" w:cs="Nirmala UI Semilight"/>
        </w:rPr>
        <w:t xml:space="preserve"> September 15</w:t>
      </w:r>
      <w:r w:rsidRPr="00F53399">
        <w:rPr>
          <w:rFonts w:ascii="Nirmala UI Semilight" w:hAnsi="Nirmala UI Semilight" w:cs="Nirmala UI Semilight"/>
          <w:vertAlign w:val="superscript"/>
        </w:rPr>
        <w:t>th</w:t>
      </w:r>
      <w:r w:rsidRPr="00F6635D">
        <w:rPr>
          <w:rFonts w:ascii="Nirmala UI Semilight" w:hAnsi="Nirmala UI Semilight" w:cs="Nirmala UI Semilight"/>
          <w:i/>
          <w:iCs/>
        </w:rPr>
        <w:t xml:space="preserve">” </w:t>
      </w:r>
      <w:proofErr w:type="gramStart"/>
      <w:r>
        <w:rPr>
          <w:rFonts w:ascii="Nirmala UI Semilight" w:hAnsi="Nirmala UI Semilight" w:cs="Nirmala UI Semilight"/>
          <w:i/>
          <w:iCs/>
        </w:rPr>
        <w:t>to;</w:t>
      </w:r>
      <w:proofErr w:type="gramEnd"/>
    </w:p>
    <w:p w14:paraId="2F5E5452" w14:textId="77777777" w:rsidR="000F672D" w:rsidRDefault="000F672D" w:rsidP="00C41AFE">
      <w:pPr>
        <w:pStyle w:val="ListParagraph"/>
        <w:numPr>
          <w:ilvl w:val="2"/>
          <w:numId w:val="84"/>
        </w:numPr>
        <w:spacing w:after="0"/>
        <w:jc w:val="left"/>
        <w:rPr>
          <w:rFonts w:ascii="Nirmala UI Semilight" w:hAnsi="Nirmala UI Semilight" w:cs="Nirmala UI Semilight"/>
          <w:i/>
          <w:iCs/>
        </w:rPr>
      </w:pPr>
      <w:r>
        <w:rPr>
          <w:rFonts w:ascii="Nirmala UI Semilight" w:hAnsi="Nirmala UI Semilight" w:cs="Nirmala UI Semilight"/>
          <w:i/>
          <w:iCs/>
        </w:rPr>
        <w:t>“</w:t>
      </w:r>
      <w:r w:rsidRPr="00F53399">
        <w:rPr>
          <w:rFonts w:ascii="Nirmala UI Semilight" w:hAnsi="Nirmala UI Semilight" w:cs="Nirmala UI Semilight"/>
        </w:rPr>
        <w:t xml:space="preserve">WRAPA effective date </w:t>
      </w:r>
      <w:r w:rsidRPr="00F53399">
        <w:rPr>
          <w:rFonts w:ascii="Nirmala UI Semilight" w:hAnsi="Nirmala UI Semilight" w:cs="Nirmala UI Semilight"/>
          <w:u w:val="single"/>
        </w:rPr>
        <w:t>on</w:t>
      </w:r>
      <w:r w:rsidRPr="00F53399">
        <w:rPr>
          <w:rFonts w:ascii="Nirmala UI Semilight" w:hAnsi="Nirmala UI Semilight" w:cs="Nirmala UI Semilight"/>
        </w:rPr>
        <w:t xml:space="preserve"> September 15</w:t>
      </w:r>
      <w:r w:rsidRPr="00F53399">
        <w:rPr>
          <w:rFonts w:ascii="Nirmala UI Semilight" w:hAnsi="Nirmala UI Semilight" w:cs="Nirmala UI Semilight"/>
          <w:vertAlign w:val="superscript"/>
        </w:rPr>
        <w:t>th</w:t>
      </w:r>
      <w:r>
        <w:rPr>
          <w:rFonts w:ascii="Nirmala UI Semilight" w:hAnsi="Nirmala UI Semilight" w:cs="Nirmala UI Semilight"/>
          <w:i/>
          <w:iCs/>
        </w:rPr>
        <w:t>”</w:t>
      </w:r>
    </w:p>
    <w:p w14:paraId="50D58982" w14:textId="77777777" w:rsidR="000F672D" w:rsidRDefault="000F672D" w:rsidP="000F672D">
      <w:pPr>
        <w:pStyle w:val="ListParagraph"/>
        <w:spacing w:after="0"/>
        <w:ind w:left="3240"/>
        <w:rPr>
          <w:rFonts w:ascii="Nirmala UI Semilight" w:hAnsi="Nirmala UI Semilight" w:cs="Nirmala UI Semilight"/>
          <w:i/>
          <w:iCs/>
        </w:rPr>
      </w:pPr>
    </w:p>
    <w:p w14:paraId="2B091127" w14:textId="77777777" w:rsidR="000F672D" w:rsidRPr="00A11E9A" w:rsidRDefault="000F672D" w:rsidP="00C41AFE">
      <w:pPr>
        <w:pStyle w:val="ListParagraph"/>
        <w:numPr>
          <w:ilvl w:val="0"/>
          <w:numId w:val="78"/>
        </w:numPr>
        <w:spacing w:after="0"/>
        <w:jc w:val="left"/>
        <w:rPr>
          <w:rFonts w:ascii="Nirmala UI Semilight" w:hAnsi="Nirmala UI Semilight" w:cs="Nirmala UI Semilight"/>
          <w:i/>
          <w:iCs/>
          <w:u w:val="single"/>
        </w:rPr>
      </w:pPr>
      <w:r w:rsidRPr="00A11E9A">
        <w:rPr>
          <w:rFonts w:ascii="Nirmala UI Semilight" w:hAnsi="Nirmala UI Semilight" w:cs="Nirmala UI Semilight"/>
          <w:i/>
          <w:iCs/>
          <w:u w:val="single"/>
        </w:rPr>
        <w:t xml:space="preserve">Endorsement: </w:t>
      </w:r>
    </w:p>
    <w:p w14:paraId="15E3BF3E" w14:textId="77777777" w:rsidR="000F672D" w:rsidRDefault="000F672D" w:rsidP="00C41AFE">
      <w:pPr>
        <w:pStyle w:val="ListParagraph"/>
        <w:numPr>
          <w:ilvl w:val="1"/>
          <w:numId w:val="85"/>
        </w:numPr>
        <w:spacing w:after="0"/>
        <w:jc w:val="left"/>
        <w:rPr>
          <w:rFonts w:ascii="Nirmala UI Semilight" w:hAnsi="Nirmala UI Semilight" w:cs="Nirmala UI Semilight"/>
          <w:i/>
          <w:iCs/>
        </w:rPr>
      </w:pPr>
      <w:r>
        <w:rPr>
          <w:rFonts w:ascii="Nirmala UI Semilight" w:hAnsi="Nirmala UI Semilight" w:cs="Nirmala UI Semilight"/>
          <w:i/>
          <w:iCs/>
        </w:rPr>
        <w:lastRenderedPageBreak/>
        <w:t>NWEC makes a motion to approve NTFP-2 with cleaned up language in BPM 109, Section 3, Page 5 to “WRAPA effective date on September 15</w:t>
      </w:r>
      <w:r w:rsidRPr="009D0CBB">
        <w:rPr>
          <w:rFonts w:ascii="Nirmala UI Semilight" w:hAnsi="Nirmala UI Semilight" w:cs="Nirmala UI Semilight"/>
          <w:i/>
          <w:iCs/>
          <w:vertAlign w:val="superscript"/>
        </w:rPr>
        <w:t>th</w:t>
      </w:r>
      <w:r>
        <w:rPr>
          <w:rFonts w:ascii="Nirmala UI Semilight" w:hAnsi="Nirmala UI Semilight" w:cs="Nirmala UI Semilight"/>
          <w:i/>
          <w:iCs/>
        </w:rPr>
        <w:t xml:space="preserve">”. SRP seconds the motion and 2024-NTFP-2 is endorsed by the PRC. </w:t>
      </w:r>
    </w:p>
    <w:p w14:paraId="5D2C583B" w14:textId="77777777" w:rsidR="000F672D" w:rsidRDefault="000F672D" w:rsidP="000F672D">
      <w:pPr>
        <w:pStyle w:val="ListParagraph"/>
        <w:spacing w:after="0"/>
        <w:ind w:left="1800"/>
        <w:rPr>
          <w:rFonts w:ascii="Nirmala UI Semilight" w:hAnsi="Nirmala UI Semilight" w:cs="Nirmala UI Semilight"/>
          <w:i/>
          <w:iCs/>
        </w:rPr>
      </w:pPr>
    </w:p>
    <w:p w14:paraId="0941BDCE" w14:textId="77777777" w:rsidR="000F672D" w:rsidRPr="00D21D0F" w:rsidRDefault="000F672D" w:rsidP="000F672D">
      <w:pPr>
        <w:pStyle w:val="ListParagraph"/>
        <w:numPr>
          <w:ilvl w:val="1"/>
          <w:numId w:val="22"/>
        </w:numPr>
        <w:spacing w:after="0"/>
        <w:jc w:val="left"/>
        <w:rPr>
          <w:rFonts w:ascii="Nirmala UI Semilight" w:hAnsi="Nirmala UI Semilight" w:cs="Nirmala UI Semilight"/>
          <w:u w:val="single"/>
        </w:rPr>
      </w:pPr>
      <w:r w:rsidRPr="00D21D0F">
        <w:rPr>
          <w:rFonts w:ascii="Nirmala UI Semilight" w:hAnsi="Nirmala UI Semilight" w:cs="Nirmala UI Semilight"/>
          <w:u w:val="single"/>
        </w:rPr>
        <w:t xml:space="preserve">2024-NTFP-04 (BPM 103, P50 Peak Load Forecasting) Update: </w:t>
      </w:r>
    </w:p>
    <w:p w14:paraId="3A1B50AB" w14:textId="77777777" w:rsidR="000F672D" w:rsidRDefault="000F672D" w:rsidP="00C41AFE">
      <w:pPr>
        <w:pStyle w:val="ListParagraph"/>
        <w:numPr>
          <w:ilvl w:val="1"/>
          <w:numId w:val="86"/>
        </w:numPr>
        <w:spacing w:after="0"/>
        <w:jc w:val="left"/>
        <w:rPr>
          <w:rFonts w:ascii="Nirmala UI Semilight" w:hAnsi="Nirmala UI Semilight" w:cs="Nirmala UI Semilight"/>
          <w:i/>
          <w:iCs/>
        </w:rPr>
      </w:pPr>
      <w:r>
        <w:rPr>
          <w:rFonts w:ascii="Nirmala UI Semilight" w:hAnsi="Nirmala UI Semilight" w:cs="Nirmala UI Semilight"/>
          <w:i/>
          <w:iCs/>
        </w:rPr>
        <w:t>Endorsed last PRC meeting on February 5</w:t>
      </w:r>
      <w:r w:rsidRPr="009D0CBB">
        <w:rPr>
          <w:rFonts w:ascii="Nirmala UI Semilight" w:hAnsi="Nirmala UI Semilight" w:cs="Nirmala UI Semilight"/>
          <w:i/>
          <w:iCs/>
          <w:vertAlign w:val="superscript"/>
        </w:rPr>
        <w:t>th</w:t>
      </w:r>
      <w:r>
        <w:rPr>
          <w:rFonts w:ascii="Nirmala UI Semilight" w:hAnsi="Nirmala UI Semilight" w:cs="Nirmala UI Semilight"/>
          <w:i/>
          <w:iCs/>
        </w:rPr>
        <w:t xml:space="preserve">.  </w:t>
      </w:r>
    </w:p>
    <w:p w14:paraId="44F278E0" w14:textId="77777777" w:rsidR="000F672D" w:rsidRDefault="000F672D" w:rsidP="00C41AFE">
      <w:pPr>
        <w:pStyle w:val="ListParagraph"/>
        <w:numPr>
          <w:ilvl w:val="1"/>
          <w:numId w:val="86"/>
        </w:numPr>
        <w:spacing w:after="0"/>
        <w:jc w:val="left"/>
        <w:rPr>
          <w:rFonts w:ascii="Nirmala UI Semilight" w:hAnsi="Nirmala UI Semilight" w:cs="Nirmala UI Semilight"/>
          <w:i/>
          <w:iCs/>
        </w:rPr>
      </w:pPr>
      <w:r>
        <w:rPr>
          <w:rFonts w:ascii="Nirmala UI Semilight" w:hAnsi="Nirmala UI Semilight" w:cs="Nirmala UI Semilight"/>
          <w:i/>
          <w:iCs/>
        </w:rPr>
        <w:t>RAPC endorsed NTFP-04 last week on February 13</w:t>
      </w:r>
      <w:proofErr w:type="gramStart"/>
      <w:r w:rsidRPr="001D7D77">
        <w:rPr>
          <w:rFonts w:ascii="Nirmala UI Semilight" w:hAnsi="Nirmala UI Semilight" w:cs="Nirmala UI Semilight"/>
          <w:i/>
          <w:iCs/>
          <w:vertAlign w:val="superscript"/>
        </w:rPr>
        <w:t>th</w:t>
      </w:r>
      <w:r>
        <w:rPr>
          <w:rFonts w:ascii="Nirmala UI Semilight" w:hAnsi="Nirmala UI Semilight" w:cs="Nirmala UI Semilight"/>
          <w:i/>
          <w:iCs/>
          <w:vertAlign w:val="superscript"/>
        </w:rPr>
        <w:t xml:space="preserve"> </w:t>
      </w:r>
      <w:r>
        <w:rPr>
          <w:rFonts w:ascii="Nirmala UI Semilight" w:hAnsi="Nirmala UI Semilight" w:cs="Nirmala UI Semilight"/>
          <w:i/>
          <w:iCs/>
        </w:rPr>
        <w:t>.</w:t>
      </w:r>
      <w:proofErr w:type="gramEnd"/>
    </w:p>
    <w:p w14:paraId="25141187" w14:textId="77777777" w:rsidR="000F672D" w:rsidRPr="004F6A96" w:rsidRDefault="000F672D" w:rsidP="00C41AFE">
      <w:pPr>
        <w:pStyle w:val="ListParagraph"/>
        <w:numPr>
          <w:ilvl w:val="1"/>
          <w:numId w:val="86"/>
        </w:numPr>
        <w:spacing w:after="0"/>
        <w:jc w:val="left"/>
        <w:rPr>
          <w:rFonts w:ascii="Nirmala UI Semilight" w:hAnsi="Nirmala UI Semilight" w:cs="Nirmala UI Semilight"/>
          <w:i/>
          <w:iCs/>
        </w:rPr>
      </w:pPr>
      <w:r>
        <w:rPr>
          <w:rFonts w:ascii="Nirmala UI Semilight" w:hAnsi="Nirmala UI Semilight" w:cs="Nirmala UI Semilight"/>
          <w:i/>
          <w:iCs/>
        </w:rPr>
        <w:t>C</w:t>
      </w:r>
      <w:r w:rsidRPr="004F6A96">
        <w:rPr>
          <w:rFonts w:ascii="Nirmala UI Semilight" w:hAnsi="Nirmala UI Semilight" w:cs="Nirmala UI Semilight"/>
          <w:i/>
          <w:iCs/>
        </w:rPr>
        <w:t xml:space="preserve">urrently in two weeks phase to give COSR time to review and comment. </w:t>
      </w:r>
    </w:p>
    <w:p w14:paraId="0DF12DF4" w14:textId="77777777" w:rsidR="000F672D" w:rsidRDefault="000F672D" w:rsidP="000F672D">
      <w:pPr>
        <w:pStyle w:val="ListParagraph"/>
        <w:spacing w:after="0"/>
        <w:ind w:left="1440"/>
        <w:rPr>
          <w:rFonts w:ascii="Nirmala UI Semilight" w:hAnsi="Nirmala UI Semilight" w:cs="Nirmala UI Semilight"/>
          <w:i/>
          <w:iCs/>
        </w:rPr>
      </w:pPr>
    </w:p>
    <w:p w14:paraId="0010BE70" w14:textId="77777777" w:rsidR="000F672D" w:rsidRDefault="000F672D" w:rsidP="000F672D">
      <w:pPr>
        <w:pStyle w:val="ListParagraph"/>
        <w:numPr>
          <w:ilvl w:val="0"/>
          <w:numId w:val="22"/>
        </w:numPr>
        <w:spacing w:after="0"/>
        <w:jc w:val="left"/>
        <w:rPr>
          <w:rFonts w:ascii="Nirmala UI Semilight" w:hAnsi="Nirmala UI Semilight" w:cs="Nirmala UI Semilight"/>
          <w:b/>
          <w:bCs/>
        </w:rPr>
      </w:pPr>
      <w:r>
        <w:rPr>
          <w:rFonts w:ascii="Nirmala UI Semilight" w:hAnsi="Nirmala UI Semilight" w:cs="Nirmala UI Semilight"/>
          <w:b/>
          <w:bCs/>
        </w:rPr>
        <w:t xml:space="preserve">Level of Effort Review (See PowerPoint Below) </w:t>
      </w:r>
    </w:p>
    <w:p w14:paraId="1D667CC5" w14:textId="77777777" w:rsidR="000F672D" w:rsidRDefault="000F672D" w:rsidP="000F672D">
      <w:pPr>
        <w:pStyle w:val="ListParagraph"/>
        <w:numPr>
          <w:ilvl w:val="1"/>
          <w:numId w:val="22"/>
        </w:numPr>
        <w:spacing w:after="0"/>
        <w:jc w:val="left"/>
        <w:rPr>
          <w:rFonts w:ascii="Nirmala UI Semilight" w:hAnsi="Nirmala UI Semilight" w:cs="Nirmala UI Semilight"/>
        </w:rPr>
      </w:pPr>
      <w:r>
        <w:rPr>
          <w:rFonts w:ascii="Nirmala UI Semilight" w:hAnsi="Nirmala UI Semilight" w:cs="Nirmala UI Semilight"/>
        </w:rPr>
        <w:t>Discuss initial draft schedule (balancing Task Force/Sponsor overlaps and priorities):</w:t>
      </w:r>
    </w:p>
    <w:p w14:paraId="7FCD603D" w14:textId="77777777" w:rsidR="000F672D" w:rsidRPr="00D31BDA" w:rsidRDefault="000F672D" w:rsidP="00C41AFE">
      <w:pPr>
        <w:pStyle w:val="ListParagraph"/>
        <w:numPr>
          <w:ilvl w:val="0"/>
          <w:numId w:val="75"/>
        </w:numPr>
        <w:spacing w:after="0"/>
        <w:jc w:val="left"/>
        <w:rPr>
          <w:rFonts w:ascii="Nirmala UI Semilight" w:hAnsi="Nirmala UI Semilight" w:cs="Nirmala UI Semilight"/>
          <w:i/>
          <w:iCs/>
          <w:u w:val="single"/>
        </w:rPr>
      </w:pPr>
      <w:r w:rsidRPr="00D31BDA">
        <w:rPr>
          <w:rFonts w:ascii="Nirmala UI Semilight" w:hAnsi="Nirmala UI Semilight" w:cs="Nirmala UI Semilight"/>
          <w:i/>
          <w:iCs/>
          <w:u w:val="single"/>
        </w:rPr>
        <w:t xml:space="preserve">Context: </w:t>
      </w:r>
    </w:p>
    <w:p w14:paraId="04F2075D" w14:textId="77777777" w:rsidR="000F672D" w:rsidRPr="00B10408" w:rsidRDefault="000F672D" w:rsidP="00C41AFE">
      <w:pPr>
        <w:pStyle w:val="ListParagraph"/>
        <w:numPr>
          <w:ilvl w:val="0"/>
          <w:numId w:val="80"/>
        </w:numPr>
        <w:spacing w:after="0"/>
        <w:jc w:val="left"/>
        <w:rPr>
          <w:rFonts w:ascii="Nirmala UI Semilight" w:hAnsi="Nirmala UI Semilight" w:cs="Nirmala UI Semilight"/>
          <w:i/>
          <w:iCs/>
        </w:rPr>
      </w:pPr>
      <w:r w:rsidRPr="00B10408">
        <w:rPr>
          <w:rFonts w:ascii="Nirmala UI Semilight" w:hAnsi="Nirmala UI Semilight" w:cs="Nirmala UI Semilight"/>
          <w:i/>
          <w:iCs/>
        </w:rPr>
        <w:t>BPM 301 requires the draft workplan by mid-March.</w:t>
      </w:r>
    </w:p>
    <w:p w14:paraId="5411305C" w14:textId="77777777" w:rsidR="000F672D" w:rsidRPr="00B10408" w:rsidRDefault="000F672D" w:rsidP="00C41AFE">
      <w:pPr>
        <w:pStyle w:val="ListParagraph"/>
        <w:numPr>
          <w:ilvl w:val="0"/>
          <w:numId w:val="80"/>
        </w:numPr>
        <w:spacing w:after="0"/>
        <w:jc w:val="left"/>
        <w:rPr>
          <w:rFonts w:ascii="Nirmala UI Semilight" w:hAnsi="Nirmala UI Semilight" w:cs="Nirmala UI Semilight"/>
          <w:i/>
          <w:iCs/>
        </w:rPr>
      </w:pPr>
      <w:r w:rsidRPr="00B10408">
        <w:rPr>
          <w:rFonts w:ascii="Nirmala UI Semilight" w:hAnsi="Nirmala UI Semilight" w:cs="Nirmala UI Semilight"/>
          <w:i/>
          <w:iCs/>
        </w:rPr>
        <w:t xml:space="preserve">The focus is on balancing Task Force and Sponsor overlaps while aligning with the committee's </w:t>
      </w:r>
      <w:r>
        <w:rPr>
          <w:rFonts w:ascii="Nirmala UI Semilight" w:hAnsi="Nirmala UI Semilight" w:cs="Nirmala UI Semilight"/>
          <w:i/>
          <w:iCs/>
        </w:rPr>
        <w:t xml:space="preserve">concept prioritization. </w:t>
      </w:r>
    </w:p>
    <w:p w14:paraId="32790E64" w14:textId="77777777" w:rsidR="000F672D" w:rsidRPr="00B10408" w:rsidRDefault="000F672D" w:rsidP="00C41AFE">
      <w:pPr>
        <w:pStyle w:val="ListParagraph"/>
        <w:numPr>
          <w:ilvl w:val="0"/>
          <w:numId w:val="80"/>
        </w:numPr>
        <w:spacing w:after="0"/>
        <w:jc w:val="left"/>
        <w:rPr>
          <w:rFonts w:ascii="Nirmala UI Semilight" w:hAnsi="Nirmala UI Semilight" w:cs="Nirmala UI Semilight"/>
          <w:i/>
          <w:iCs/>
        </w:rPr>
      </w:pPr>
      <w:r w:rsidRPr="00B10408">
        <w:rPr>
          <w:rFonts w:ascii="Nirmala UI Semilight" w:hAnsi="Nirmala UI Semilight" w:cs="Nirmala UI Semilight"/>
          <w:i/>
          <w:iCs/>
        </w:rPr>
        <w:t>Task Forces will convert concepts into proposals; non-participants can still provide feedback during proposal circulation.</w:t>
      </w:r>
    </w:p>
    <w:p w14:paraId="6929EB6A" w14:textId="77777777" w:rsidR="000F672D" w:rsidRDefault="000F672D" w:rsidP="00C41AFE">
      <w:pPr>
        <w:pStyle w:val="ListParagraph"/>
        <w:numPr>
          <w:ilvl w:val="0"/>
          <w:numId w:val="80"/>
        </w:numPr>
        <w:spacing w:after="0"/>
        <w:jc w:val="left"/>
        <w:rPr>
          <w:rFonts w:ascii="Nirmala UI Semilight" w:hAnsi="Nirmala UI Semilight" w:cs="Nirmala UI Semilight"/>
          <w:i/>
          <w:iCs/>
        </w:rPr>
      </w:pPr>
      <w:r w:rsidRPr="00B10408">
        <w:rPr>
          <w:rFonts w:ascii="Nirmala UI Semilight" w:hAnsi="Nirmala UI Semilight" w:cs="Nirmala UI Semilight"/>
          <w:i/>
          <w:iCs/>
        </w:rPr>
        <w:t>Groundwork was laid during the change request compilation</w:t>
      </w:r>
      <w:r>
        <w:rPr>
          <w:rFonts w:ascii="Nirmala UI Semilight" w:hAnsi="Nirmala UI Semilight" w:cs="Nirmala UI Semilight"/>
          <w:i/>
          <w:iCs/>
        </w:rPr>
        <w:t xml:space="preserve"> in January 2025</w:t>
      </w:r>
    </w:p>
    <w:p w14:paraId="08394097" w14:textId="77777777" w:rsidR="000F672D" w:rsidRDefault="000F672D" w:rsidP="000F672D">
      <w:pPr>
        <w:pStyle w:val="ListParagraph"/>
        <w:spacing w:after="0"/>
        <w:ind w:left="2160"/>
        <w:rPr>
          <w:rFonts w:ascii="Nirmala UI Semilight" w:hAnsi="Nirmala UI Semilight" w:cs="Nirmala UI Semilight"/>
          <w:i/>
          <w:iCs/>
        </w:rPr>
      </w:pPr>
    </w:p>
    <w:p w14:paraId="176F96BB" w14:textId="77777777" w:rsidR="000F672D" w:rsidRPr="00DE64E0" w:rsidRDefault="000F672D" w:rsidP="00C41AFE">
      <w:pPr>
        <w:pStyle w:val="ListParagraph"/>
        <w:numPr>
          <w:ilvl w:val="0"/>
          <w:numId w:val="75"/>
        </w:numPr>
        <w:spacing w:after="0"/>
        <w:jc w:val="left"/>
        <w:rPr>
          <w:rFonts w:ascii="Nirmala UI Semilight" w:hAnsi="Nirmala UI Semilight" w:cs="Nirmala UI Semilight"/>
          <w:i/>
          <w:iCs/>
          <w:u w:val="single"/>
        </w:rPr>
      </w:pPr>
      <w:r>
        <w:rPr>
          <w:rFonts w:ascii="Nirmala UI Semilight" w:hAnsi="Nirmala UI Semilight" w:cs="Nirmala UI Semilight"/>
          <w:i/>
          <w:iCs/>
          <w:u w:val="single"/>
        </w:rPr>
        <w:t>Level of Effort Process</w:t>
      </w:r>
      <w:r w:rsidRPr="00DE64E0">
        <w:rPr>
          <w:rFonts w:ascii="Nirmala UI Semilight" w:hAnsi="Nirmala UI Semilight" w:cs="Nirmala UI Semilight"/>
          <w:i/>
          <w:iCs/>
          <w:u w:val="single"/>
        </w:rPr>
        <w:t xml:space="preserve">: </w:t>
      </w:r>
    </w:p>
    <w:p w14:paraId="2EF64E6A" w14:textId="77777777" w:rsidR="000F672D" w:rsidRPr="001F3C13" w:rsidRDefault="000F672D" w:rsidP="00C41AFE">
      <w:pPr>
        <w:pStyle w:val="ListParagraph"/>
        <w:numPr>
          <w:ilvl w:val="0"/>
          <w:numId w:val="81"/>
        </w:numPr>
        <w:spacing w:after="0"/>
        <w:jc w:val="left"/>
        <w:rPr>
          <w:rFonts w:ascii="Nirmala UI Semilight" w:hAnsi="Nirmala UI Semilight" w:cs="Nirmala UI Semilight"/>
          <w:i/>
          <w:iCs/>
        </w:rPr>
      </w:pPr>
      <w:r w:rsidRPr="001F3C13">
        <w:rPr>
          <w:rFonts w:ascii="Nirmala UI Semilight" w:hAnsi="Nirmala UI Semilight" w:cs="Nirmala UI Semilight"/>
          <w:i/>
          <w:iCs/>
        </w:rPr>
        <w:t>PRC directed WPP to conduct a high-level effort review.</w:t>
      </w:r>
    </w:p>
    <w:p w14:paraId="3A2B011D" w14:textId="77777777" w:rsidR="000F672D" w:rsidRPr="001F3C13" w:rsidRDefault="000F672D" w:rsidP="00C41AFE">
      <w:pPr>
        <w:pStyle w:val="ListParagraph"/>
        <w:numPr>
          <w:ilvl w:val="0"/>
          <w:numId w:val="81"/>
        </w:numPr>
        <w:spacing w:after="0"/>
        <w:jc w:val="left"/>
        <w:rPr>
          <w:rFonts w:ascii="Nirmala UI Semilight" w:hAnsi="Nirmala UI Semilight" w:cs="Nirmala UI Semilight"/>
          <w:i/>
          <w:iCs/>
        </w:rPr>
      </w:pPr>
      <w:r w:rsidRPr="001F3C13">
        <w:rPr>
          <w:rFonts w:ascii="Nirmala UI Semilight" w:hAnsi="Nirmala UI Semilight" w:cs="Nirmala UI Semilight"/>
          <w:i/>
          <w:iCs/>
        </w:rPr>
        <w:t>Concept Evaluation: Each concept was assigned a time rank (L = 6 months, M = 4 months, S = 2 months) and identified WRAP areas.</w:t>
      </w:r>
    </w:p>
    <w:p w14:paraId="1ED68FC0" w14:textId="77777777" w:rsidR="000F672D" w:rsidRDefault="000F672D" w:rsidP="00C41AFE">
      <w:pPr>
        <w:pStyle w:val="ListParagraph"/>
        <w:numPr>
          <w:ilvl w:val="0"/>
          <w:numId w:val="81"/>
        </w:numPr>
        <w:spacing w:after="0"/>
        <w:jc w:val="left"/>
        <w:rPr>
          <w:rFonts w:ascii="Nirmala UI Semilight" w:hAnsi="Nirmala UI Semilight" w:cs="Nirmala UI Semilight"/>
          <w:i/>
          <w:iCs/>
        </w:rPr>
      </w:pPr>
      <w:r w:rsidRPr="001F3C13">
        <w:rPr>
          <w:rFonts w:ascii="Nirmala UI Semilight" w:hAnsi="Nirmala UI Semilight" w:cs="Nirmala UI Semilight"/>
          <w:i/>
          <w:iCs/>
        </w:rPr>
        <w:t>WRAP areas serve as proxies for the Task Force participants, including WPP/SPP staff and stakeholders.</w:t>
      </w:r>
    </w:p>
    <w:p w14:paraId="285586E7" w14:textId="77777777" w:rsidR="000F672D" w:rsidRDefault="000F672D" w:rsidP="000F672D">
      <w:pPr>
        <w:pStyle w:val="ListParagraph"/>
        <w:spacing w:after="0"/>
        <w:ind w:left="2160"/>
        <w:rPr>
          <w:rFonts w:ascii="Nirmala UI Semilight" w:hAnsi="Nirmala UI Semilight" w:cs="Nirmala UI Semilight"/>
          <w:i/>
          <w:iCs/>
        </w:rPr>
      </w:pPr>
    </w:p>
    <w:p w14:paraId="742510B3" w14:textId="77777777" w:rsidR="000F672D" w:rsidRPr="00795527" w:rsidRDefault="000F672D" w:rsidP="00C41AFE">
      <w:pPr>
        <w:pStyle w:val="ListParagraph"/>
        <w:numPr>
          <w:ilvl w:val="0"/>
          <w:numId w:val="75"/>
        </w:numPr>
        <w:spacing w:after="0"/>
        <w:jc w:val="left"/>
        <w:rPr>
          <w:rFonts w:ascii="Nirmala UI Semilight" w:hAnsi="Nirmala UI Semilight" w:cs="Nirmala UI Semilight"/>
          <w:i/>
          <w:iCs/>
          <w:u w:val="single"/>
        </w:rPr>
      </w:pPr>
      <w:r w:rsidRPr="00795527">
        <w:rPr>
          <w:rFonts w:ascii="Nirmala UI Semilight" w:hAnsi="Nirmala UI Semilight" w:cs="Nirmala UI Semilight"/>
          <w:i/>
          <w:iCs/>
          <w:u w:val="single"/>
        </w:rPr>
        <w:t>Develop</w:t>
      </w:r>
      <w:r>
        <w:rPr>
          <w:rFonts w:ascii="Nirmala UI Semilight" w:hAnsi="Nirmala UI Semilight" w:cs="Nirmala UI Semilight"/>
          <w:i/>
          <w:iCs/>
          <w:u w:val="single"/>
        </w:rPr>
        <w:t>ment</w:t>
      </w:r>
      <w:r w:rsidRPr="00795527">
        <w:rPr>
          <w:rFonts w:ascii="Nirmala UI Semilight" w:hAnsi="Nirmala UI Semilight" w:cs="Nirmala UI Semilight"/>
          <w:i/>
          <w:iCs/>
          <w:u w:val="single"/>
        </w:rPr>
        <w:t xml:space="preserve"> of Draft Workplan</w:t>
      </w:r>
      <w:r>
        <w:rPr>
          <w:rFonts w:ascii="Nirmala UI Semilight" w:hAnsi="Nirmala UI Semilight" w:cs="Nirmala UI Semilight"/>
          <w:i/>
          <w:iCs/>
          <w:u w:val="single"/>
        </w:rPr>
        <w:t>:</w:t>
      </w:r>
    </w:p>
    <w:p w14:paraId="4CFE997D" w14:textId="77777777" w:rsidR="000F672D" w:rsidRPr="00503730" w:rsidRDefault="000F672D" w:rsidP="000F672D">
      <w:pPr>
        <w:pStyle w:val="ListParagraph"/>
        <w:spacing w:after="0"/>
        <w:ind w:left="2160"/>
        <w:rPr>
          <w:rFonts w:ascii="Nirmala UI Semilight" w:hAnsi="Nirmala UI Semilight" w:cs="Nirmala UI Semilight"/>
          <w:i/>
          <w:iCs/>
        </w:rPr>
      </w:pPr>
      <w:r w:rsidRPr="00503730">
        <w:rPr>
          <w:rFonts w:ascii="Nirmala UI Semilight" w:hAnsi="Nirmala UI Semilight" w:cs="Nirmala UI Semilight"/>
          <w:i/>
          <w:iCs/>
        </w:rPr>
        <w:t>PRC Request: A draft 2025 workplan with two lanes for long concepts and a dedicated lane for short concepts, structured in four phases.</w:t>
      </w:r>
    </w:p>
    <w:p w14:paraId="5E5330FE" w14:textId="77777777" w:rsidR="000F672D" w:rsidRPr="00503730" w:rsidRDefault="000F672D" w:rsidP="000F672D">
      <w:pPr>
        <w:pStyle w:val="ListParagraph"/>
        <w:spacing w:after="0"/>
        <w:ind w:left="2160"/>
        <w:rPr>
          <w:rFonts w:ascii="Nirmala UI Semilight" w:hAnsi="Nirmala UI Semilight" w:cs="Nirmala UI Semilight"/>
          <w:i/>
          <w:iCs/>
        </w:rPr>
      </w:pPr>
    </w:p>
    <w:p w14:paraId="388B5F49" w14:textId="77777777" w:rsidR="000F672D" w:rsidRPr="00503730" w:rsidRDefault="000F672D" w:rsidP="00C41AFE">
      <w:pPr>
        <w:pStyle w:val="ListParagraph"/>
        <w:numPr>
          <w:ilvl w:val="0"/>
          <w:numId w:val="82"/>
        </w:numPr>
        <w:spacing w:after="0"/>
        <w:jc w:val="left"/>
        <w:rPr>
          <w:rFonts w:ascii="Nirmala UI Semilight" w:hAnsi="Nirmala UI Semilight" w:cs="Nirmala UI Semilight"/>
          <w:b/>
          <w:bCs/>
          <w:i/>
          <w:iCs/>
        </w:rPr>
      </w:pPr>
      <w:r w:rsidRPr="00503730">
        <w:rPr>
          <w:rFonts w:ascii="Nirmala UI Semilight" w:hAnsi="Nirmala UI Semilight" w:cs="Nirmala UI Semilight"/>
          <w:b/>
          <w:bCs/>
          <w:i/>
          <w:iCs/>
        </w:rPr>
        <w:t>Phase 1 – Minimize Sponsor Overlap:</w:t>
      </w:r>
    </w:p>
    <w:p w14:paraId="55D33348" w14:textId="77777777" w:rsidR="000F672D" w:rsidRPr="00503730" w:rsidRDefault="000F672D" w:rsidP="00C41AFE">
      <w:pPr>
        <w:pStyle w:val="ListParagraph"/>
        <w:numPr>
          <w:ilvl w:val="1"/>
          <w:numId w:val="82"/>
        </w:numPr>
        <w:spacing w:after="0"/>
        <w:jc w:val="left"/>
        <w:rPr>
          <w:rFonts w:ascii="Nirmala UI Semilight" w:hAnsi="Nirmala UI Semilight" w:cs="Nirmala UI Semilight"/>
          <w:i/>
          <w:iCs/>
        </w:rPr>
      </w:pPr>
      <w:r w:rsidRPr="00503730">
        <w:rPr>
          <w:rFonts w:ascii="Nirmala UI Semilight" w:hAnsi="Nirmala UI Semilight" w:cs="Nirmala UI Semilight"/>
          <w:i/>
          <w:iCs/>
        </w:rPr>
        <w:t>Estimated durations (L ~ 6 months, M ~ 4 months, S ~ 2 months).</w:t>
      </w:r>
    </w:p>
    <w:p w14:paraId="2263411A" w14:textId="77777777" w:rsidR="000F672D" w:rsidRPr="00503730" w:rsidRDefault="000F672D" w:rsidP="00C41AFE">
      <w:pPr>
        <w:pStyle w:val="ListParagraph"/>
        <w:numPr>
          <w:ilvl w:val="1"/>
          <w:numId w:val="82"/>
        </w:numPr>
        <w:spacing w:after="0"/>
        <w:jc w:val="left"/>
        <w:rPr>
          <w:rFonts w:ascii="Nirmala UI Semilight" w:hAnsi="Nirmala UI Semilight" w:cs="Nirmala UI Semilight"/>
          <w:i/>
          <w:iCs/>
        </w:rPr>
      </w:pPr>
      <w:proofErr w:type="gramStart"/>
      <w:r w:rsidRPr="00503730">
        <w:rPr>
          <w:rFonts w:ascii="Nirmala UI Semilight" w:hAnsi="Nirmala UI Semilight" w:cs="Nirmala UI Semilight"/>
          <w:i/>
          <w:iCs/>
        </w:rPr>
        <w:t>Initial</w:t>
      </w:r>
      <w:proofErr w:type="gramEnd"/>
      <w:r w:rsidRPr="00503730">
        <w:rPr>
          <w:rFonts w:ascii="Nirmala UI Semilight" w:hAnsi="Nirmala UI Semilight" w:cs="Nirmala UI Semilight"/>
          <w:i/>
          <w:iCs/>
        </w:rPr>
        <w:t xml:space="preserve"> </w:t>
      </w:r>
      <w:proofErr w:type="gramStart"/>
      <w:r w:rsidRPr="00503730">
        <w:rPr>
          <w:rFonts w:ascii="Nirmala UI Semilight" w:hAnsi="Nirmala UI Semilight" w:cs="Nirmala UI Semilight"/>
          <w:i/>
          <w:iCs/>
        </w:rPr>
        <w:t>schedule developed</w:t>
      </w:r>
      <w:proofErr w:type="gramEnd"/>
      <w:r w:rsidRPr="00503730">
        <w:rPr>
          <w:rFonts w:ascii="Nirmala UI Semilight" w:hAnsi="Nirmala UI Semilight" w:cs="Nirmala UI Semilight"/>
          <w:i/>
          <w:iCs/>
        </w:rPr>
        <w:t xml:space="preserve"> to reduce sponsor overlap.</w:t>
      </w:r>
    </w:p>
    <w:p w14:paraId="54C54428" w14:textId="77777777" w:rsidR="000F672D" w:rsidRPr="00503730" w:rsidRDefault="000F672D" w:rsidP="00C41AFE">
      <w:pPr>
        <w:pStyle w:val="ListParagraph"/>
        <w:numPr>
          <w:ilvl w:val="0"/>
          <w:numId w:val="82"/>
        </w:numPr>
        <w:spacing w:after="0"/>
        <w:jc w:val="left"/>
        <w:rPr>
          <w:rFonts w:ascii="Nirmala UI Semilight" w:hAnsi="Nirmala UI Semilight" w:cs="Nirmala UI Semilight"/>
          <w:i/>
          <w:iCs/>
        </w:rPr>
      </w:pPr>
      <w:r w:rsidRPr="00503730">
        <w:rPr>
          <w:rFonts w:ascii="Nirmala UI Semilight" w:hAnsi="Nirmala UI Semilight" w:cs="Nirmala UI Semilight"/>
          <w:b/>
          <w:bCs/>
          <w:i/>
          <w:iCs/>
        </w:rPr>
        <w:t>Phase 2 – Minimize WRAP Area Overlap</w:t>
      </w:r>
      <w:r w:rsidRPr="00503730">
        <w:rPr>
          <w:rFonts w:ascii="Nirmala UI Semilight" w:hAnsi="Nirmala UI Semilight" w:cs="Nirmala UI Semilight"/>
          <w:i/>
          <w:iCs/>
        </w:rPr>
        <w:t>:</w:t>
      </w:r>
    </w:p>
    <w:p w14:paraId="2ED497D6" w14:textId="77777777" w:rsidR="000F672D" w:rsidRPr="00503730" w:rsidRDefault="000F672D" w:rsidP="00C41AFE">
      <w:pPr>
        <w:pStyle w:val="ListParagraph"/>
        <w:numPr>
          <w:ilvl w:val="1"/>
          <w:numId w:val="82"/>
        </w:numPr>
        <w:spacing w:after="0"/>
        <w:jc w:val="left"/>
        <w:rPr>
          <w:rFonts w:ascii="Nirmala UI Semilight" w:hAnsi="Nirmala UI Semilight" w:cs="Nirmala UI Semilight"/>
          <w:i/>
          <w:iCs/>
        </w:rPr>
      </w:pPr>
      <w:r w:rsidRPr="00503730">
        <w:rPr>
          <w:rFonts w:ascii="Nirmala UI Semilight" w:hAnsi="Nirmala UI Semilight" w:cs="Nirmala UI Semilight"/>
          <w:i/>
          <w:iCs/>
        </w:rPr>
        <w:lastRenderedPageBreak/>
        <w:t>Task forces are structured to minimize overlap in WRAP areas, factoring in expertise needed for specific concepts.</w:t>
      </w:r>
    </w:p>
    <w:p w14:paraId="2CD1B666" w14:textId="77777777" w:rsidR="000F672D" w:rsidRPr="00503730" w:rsidRDefault="000F672D" w:rsidP="00C41AFE">
      <w:pPr>
        <w:pStyle w:val="ListParagraph"/>
        <w:numPr>
          <w:ilvl w:val="0"/>
          <w:numId w:val="82"/>
        </w:numPr>
        <w:spacing w:after="0"/>
        <w:jc w:val="left"/>
        <w:rPr>
          <w:rFonts w:ascii="Nirmala UI Semilight" w:hAnsi="Nirmala UI Semilight" w:cs="Nirmala UI Semilight"/>
          <w:b/>
          <w:bCs/>
          <w:i/>
          <w:iCs/>
        </w:rPr>
      </w:pPr>
      <w:r w:rsidRPr="00503730">
        <w:rPr>
          <w:rFonts w:ascii="Nirmala UI Semilight" w:hAnsi="Nirmala UI Semilight" w:cs="Nirmala UI Semilight"/>
          <w:b/>
          <w:bCs/>
          <w:i/>
          <w:iCs/>
        </w:rPr>
        <w:t>Phase 3 – Benefits of Mirroring:</w:t>
      </w:r>
    </w:p>
    <w:p w14:paraId="044F2FBD" w14:textId="77777777" w:rsidR="000F672D" w:rsidRPr="00503730" w:rsidRDefault="000F672D" w:rsidP="00C41AFE">
      <w:pPr>
        <w:pStyle w:val="ListParagraph"/>
        <w:numPr>
          <w:ilvl w:val="1"/>
          <w:numId w:val="82"/>
        </w:numPr>
        <w:spacing w:after="0"/>
        <w:jc w:val="left"/>
        <w:rPr>
          <w:rFonts w:ascii="Nirmala UI Semilight" w:hAnsi="Nirmala UI Semilight" w:cs="Nirmala UI Semilight"/>
          <w:b/>
          <w:bCs/>
          <w:i/>
          <w:iCs/>
        </w:rPr>
      </w:pPr>
      <w:r w:rsidRPr="00503730">
        <w:rPr>
          <w:rFonts w:ascii="Nirmala UI Semilight" w:hAnsi="Nirmala UI Semilight" w:cs="Nirmala UI Semilight"/>
          <w:i/>
          <w:iCs/>
        </w:rPr>
        <w:t>Consideration of potential benefits from mirroring the schedule, though not significantly impactful.</w:t>
      </w:r>
    </w:p>
    <w:p w14:paraId="6CE7207A" w14:textId="77777777" w:rsidR="000F672D" w:rsidRPr="00503730" w:rsidRDefault="000F672D" w:rsidP="00C41AFE">
      <w:pPr>
        <w:pStyle w:val="ListParagraph"/>
        <w:numPr>
          <w:ilvl w:val="0"/>
          <w:numId w:val="82"/>
        </w:numPr>
        <w:spacing w:after="0"/>
        <w:jc w:val="left"/>
        <w:rPr>
          <w:rFonts w:ascii="Nirmala UI Semilight" w:hAnsi="Nirmala UI Semilight" w:cs="Nirmala UI Semilight"/>
          <w:b/>
          <w:bCs/>
          <w:i/>
          <w:iCs/>
        </w:rPr>
      </w:pPr>
      <w:r w:rsidRPr="00503730">
        <w:rPr>
          <w:rFonts w:ascii="Nirmala UI Semilight" w:hAnsi="Nirmala UI Semilight" w:cs="Nirmala UI Semilight"/>
          <w:b/>
          <w:bCs/>
          <w:i/>
          <w:iCs/>
        </w:rPr>
        <w:t>Phase 4 – Progression through List:</w:t>
      </w:r>
    </w:p>
    <w:p w14:paraId="79D5D8B6" w14:textId="77777777" w:rsidR="000F672D" w:rsidRDefault="000F672D" w:rsidP="00C41AFE">
      <w:pPr>
        <w:pStyle w:val="ListParagraph"/>
        <w:numPr>
          <w:ilvl w:val="1"/>
          <w:numId w:val="82"/>
        </w:numPr>
        <w:spacing w:after="0"/>
        <w:jc w:val="left"/>
        <w:rPr>
          <w:rFonts w:ascii="Nirmala UI Semilight" w:hAnsi="Nirmala UI Semilight" w:cs="Nirmala UI Semilight"/>
          <w:i/>
          <w:iCs/>
        </w:rPr>
      </w:pPr>
      <w:r w:rsidRPr="00503730">
        <w:rPr>
          <w:rFonts w:ascii="Nirmala UI Semilight" w:hAnsi="Nirmala UI Semilight" w:cs="Nirmala UI Semilight"/>
          <w:i/>
          <w:iCs/>
        </w:rPr>
        <w:t>Focus on prioritizing short concepts and assessing progress as long concepts are completed.</w:t>
      </w:r>
    </w:p>
    <w:p w14:paraId="1BE7A9A4" w14:textId="77777777" w:rsidR="000F672D" w:rsidRDefault="000F672D" w:rsidP="000F672D">
      <w:pPr>
        <w:pStyle w:val="ListParagraph"/>
        <w:spacing w:after="0"/>
        <w:ind w:left="2160"/>
        <w:rPr>
          <w:rFonts w:ascii="Nirmala UI Semilight" w:hAnsi="Nirmala UI Semilight" w:cs="Nirmala UI Semilight"/>
          <w:i/>
          <w:iCs/>
        </w:rPr>
      </w:pPr>
    </w:p>
    <w:p w14:paraId="2163C53B" w14:textId="77777777" w:rsidR="000F672D" w:rsidRPr="00C30238" w:rsidRDefault="000F672D" w:rsidP="00C41AFE">
      <w:pPr>
        <w:pStyle w:val="ListParagraph"/>
        <w:numPr>
          <w:ilvl w:val="0"/>
          <w:numId w:val="75"/>
        </w:numPr>
        <w:spacing w:after="0"/>
        <w:jc w:val="left"/>
        <w:rPr>
          <w:rFonts w:ascii="Nirmala UI Semilight" w:hAnsi="Nirmala UI Semilight" w:cs="Nirmala UI Semilight"/>
          <w:i/>
          <w:iCs/>
          <w:u w:val="single"/>
        </w:rPr>
      </w:pPr>
      <w:r w:rsidRPr="00A6515D">
        <w:rPr>
          <w:rFonts w:ascii="Nirmala UI Semilight" w:hAnsi="Nirmala UI Semilight" w:cs="Nirmala UI Semilight"/>
          <w:i/>
          <w:iCs/>
          <w:u w:val="single"/>
        </w:rPr>
        <w:t>Remaining Considerations:</w:t>
      </w:r>
    </w:p>
    <w:p w14:paraId="0B923B4F" w14:textId="77777777" w:rsidR="000F672D" w:rsidRDefault="000F672D" w:rsidP="00C41AFE">
      <w:pPr>
        <w:pStyle w:val="ListParagraph"/>
        <w:numPr>
          <w:ilvl w:val="0"/>
          <w:numId w:val="79"/>
        </w:numPr>
        <w:spacing w:after="0"/>
        <w:jc w:val="left"/>
        <w:rPr>
          <w:rFonts w:ascii="Nirmala UI Semilight" w:hAnsi="Nirmala UI Semilight" w:cs="Nirmala UI Semilight"/>
          <w:i/>
          <w:iCs/>
        </w:rPr>
      </w:pPr>
      <w:r w:rsidRPr="00C30238">
        <w:rPr>
          <w:rFonts w:ascii="Nirmala UI Semilight" w:hAnsi="Nirmala UI Semilight" w:cs="Nirmala UI Semilight"/>
          <w:b/>
          <w:bCs/>
          <w:i/>
          <w:iCs/>
        </w:rPr>
        <w:t>Short Trench Flexibility</w:t>
      </w:r>
      <w:r w:rsidRPr="00A6515D">
        <w:rPr>
          <w:rFonts w:ascii="Nirmala UI Semilight" w:hAnsi="Nirmala UI Semilight" w:cs="Nirmala UI Semilight"/>
          <w:i/>
          <w:iCs/>
        </w:rPr>
        <w:t>: Consider opening the short trench for faster proposals when needed, with potential adjustments based on progress.</w:t>
      </w:r>
    </w:p>
    <w:p w14:paraId="03F9F522" w14:textId="77777777" w:rsidR="000F672D" w:rsidRPr="00A6515D" w:rsidRDefault="000F672D" w:rsidP="00C41AFE">
      <w:pPr>
        <w:pStyle w:val="ListParagraph"/>
        <w:numPr>
          <w:ilvl w:val="0"/>
          <w:numId w:val="79"/>
        </w:numPr>
        <w:spacing w:after="0"/>
        <w:jc w:val="left"/>
        <w:rPr>
          <w:rFonts w:ascii="Nirmala UI Semilight" w:hAnsi="Nirmala UI Semilight" w:cs="Nirmala UI Semilight"/>
          <w:i/>
          <w:iCs/>
        </w:rPr>
      </w:pPr>
      <w:r>
        <w:rPr>
          <w:rFonts w:ascii="Nirmala UI Semilight" w:hAnsi="Nirmala UI Semilight" w:cs="Nirmala UI Semilight"/>
          <w:b/>
          <w:bCs/>
          <w:i/>
          <w:iCs/>
        </w:rPr>
        <w:t>Long term Flexibility</w:t>
      </w:r>
      <w:r w:rsidRPr="00E65A7E">
        <w:rPr>
          <w:rFonts w:ascii="Nirmala UI Semilight" w:hAnsi="Nirmala UI Semilight" w:cs="Nirmala UI Semilight"/>
          <w:i/>
          <w:iCs/>
        </w:rPr>
        <w:t>:</w:t>
      </w:r>
      <w:r>
        <w:rPr>
          <w:rFonts w:ascii="Nirmala UI Semilight" w:hAnsi="Nirmala UI Semilight" w:cs="Nirmala UI Semilight"/>
          <w:i/>
          <w:iCs/>
        </w:rPr>
        <w:t xml:space="preserve"> Allow for language flexibility in the workplan if prioritization order should change due to timing, minimizing overlap, etc. Likely will use wording “Committee Discretion” </w:t>
      </w:r>
    </w:p>
    <w:p w14:paraId="273DCC01" w14:textId="77777777" w:rsidR="000F672D" w:rsidRDefault="000F672D" w:rsidP="00C41AFE">
      <w:pPr>
        <w:pStyle w:val="ListParagraph"/>
        <w:numPr>
          <w:ilvl w:val="0"/>
          <w:numId w:val="79"/>
        </w:numPr>
        <w:spacing w:after="0"/>
        <w:jc w:val="left"/>
        <w:rPr>
          <w:rFonts w:ascii="Nirmala UI Semilight" w:hAnsi="Nirmala UI Semilight" w:cs="Nirmala UI Semilight"/>
          <w:i/>
          <w:iCs/>
        </w:rPr>
      </w:pPr>
      <w:r w:rsidRPr="00C30238">
        <w:rPr>
          <w:rFonts w:ascii="Nirmala UI Semilight" w:hAnsi="Nirmala UI Semilight" w:cs="Nirmala UI Semilight"/>
          <w:b/>
          <w:bCs/>
          <w:i/>
          <w:iCs/>
        </w:rPr>
        <w:t>Future Work Plan Transition:</w:t>
      </w:r>
      <w:r w:rsidRPr="00A6515D">
        <w:rPr>
          <w:rFonts w:ascii="Nirmala UI Semilight" w:hAnsi="Nirmala UI Semilight" w:cs="Nirmala UI Semilight"/>
          <w:i/>
          <w:iCs/>
        </w:rPr>
        <w:t xml:space="preserve"> Balance between completing the 2025 work plan and starting the 2026 work plan, especially regarding proposals that might roll over.</w:t>
      </w:r>
    </w:p>
    <w:p w14:paraId="08C8141D" w14:textId="77777777" w:rsidR="000F672D" w:rsidRPr="00A6515D" w:rsidRDefault="000F672D" w:rsidP="00C41AFE">
      <w:pPr>
        <w:pStyle w:val="ListParagraph"/>
        <w:numPr>
          <w:ilvl w:val="0"/>
          <w:numId w:val="79"/>
        </w:numPr>
        <w:spacing w:after="0"/>
        <w:jc w:val="left"/>
        <w:rPr>
          <w:rFonts w:ascii="Nirmala UI Semilight" w:hAnsi="Nirmala UI Semilight" w:cs="Nirmala UI Semilight"/>
          <w:i/>
          <w:iCs/>
        </w:rPr>
      </w:pPr>
      <w:r>
        <w:rPr>
          <w:rFonts w:ascii="Nirmala UI Semilight" w:hAnsi="Nirmala UI Semilight" w:cs="Nirmala UI Semilight"/>
          <w:b/>
          <w:bCs/>
          <w:i/>
          <w:iCs/>
        </w:rPr>
        <w:t>Honor Initial Prioritization:</w:t>
      </w:r>
      <w:r>
        <w:rPr>
          <w:rFonts w:ascii="Nirmala UI Semilight" w:hAnsi="Nirmala UI Semilight" w:cs="Nirmala UI Semilight"/>
          <w:i/>
          <w:iCs/>
        </w:rPr>
        <w:t xml:space="preserve"> Goal is to honor the initial prioritization as much as </w:t>
      </w:r>
      <w:proofErr w:type="gramStart"/>
      <w:r>
        <w:rPr>
          <w:rFonts w:ascii="Nirmala UI Semilight" w:hAnsi="Nirmala UI Semilight" w:cs="Nirmala UI Semilight"/>
          <w:i/>
          <w:iCs/>
        </w:rPr>
        <w:t>possible, and</w:t>
      </w:r>
      <w:proofErr w:type="gramEnd"/>
      <w:r>
        <w:rPr>
          <w:rFonts w:ascii="Nirmala UI Semilight" w:hAnsi="Nirmala UI Semilight" w:cs="Nirmala UI Semilight"/>
          <w:i/>
          <w:iCs/>
        </w:rPr>
        <w:t xml:space="preserve"> include language to allow for flexibility if PRC determines minor changes are necessary. </w:t>
      </w:r>
    </w:p>
    <w:p w14:paraId="7EB85687" w14:textId="77777777" w:rsidR="000F672D" w:rsidRDefault="000F672D" w:rsidP="00C41AFE">
      <w:pPr>
        <w:pStyle w:val="ListParagraph"/>
        <w:numPr>
          <w:ilvl w:val="0"/>
          <w:numId w:val="79"/>
        </w:numPr>
        <w:spacing w:after="0"/>
        <w:jc w:val="left"/>
        <w:rPr>
          <w:rFonts w:ascii="Nirmala UI Semilight" w:hAnsi="Nirmala UI Semilight" w:cs="Nirmala UI Semilight"/>
          <w:i/>
          <w:iCs/>
        </w:rPr>
      </w:pPr>
      <w:r w:rsidRPr="00C30238">
        <w:rPr>
          <w:rFonts w:ascii="Nirmala UI Semilight" w:hAnsi="Nirmala UI Semilight" w:cs="Nirmala UI Semilight"/>
          <w:b/>
          <w:bCs/>
          <w:i/>
          <w:iCs/>
        </w:rPr>
        <w:t>The rollover policy</w:t>
      </w:r>
      <w:r w:rsidRPr="00A6515D">
        <w:rPr>
          <w:rFonts w:ascii="Nirmala UI Semilight" w:hAnsi="Nirmala UI Semilight" w:cs="Nirmala UI Semilight"/>
          <w:i/>
          <w:iCs/>
        </w:rPr>
        <w:t xml:space="preserve"> must avoid flooding future work plans with unresolved proposals.</w:t>
      </w:r>
    </w:p>
    <w:p w14:paraId="00DC6984" w14:textId="77777777" w:rsidR="000F672D" w:rsidRPr="00A6515D" w:rsidRDefault="000F672D" w:rsidP="000F672D">
      <w:pPr>
        <w:pStyle w:val="ListParagraph"/>
        <w:spacing w:after="0"/>
        <w:ind w:left="2160"/>
        <w:rPr>
          <w:rFonts w:ascii="Nirmala UI Semilight" w:hAnsi="Nirmala UI Semilight" w:cs="Nirmala UI Semilight"/>
          <w:i/>
          <w:iCs/>
        </w:rPr>
      </w:pPr>
    </w:p>
    <w:p w14:paraId="22C892CB" w14:textId="77777777" w:rsidR="000F672D" w:rsidRDefault="000F672D" w:rsidP="000F672D">
      <w:pPr>
        <w:pStyle w:val="ListParagraph"/>
        <w:spacing w:after="0"/>
        <w:ind w:left="1800"/>
        <w:rPr>
          <w:rFonts w:ascii="Nirmala UI Semilight" w:hAnsi="Nirmala UI Semilight" w:cs="Nirmala UI Semilight"/>
          <w:i/>
          <w:iCs/>
        </w:rPr>
      </w:pPr>
      <w:r w:rsidRPr="00F90973">
        <w:rPr>
          <w:rFonts w:ascii="Nirmala UI Semilight" w:hAnsi="Nirmala UI Semilight" w:cs="Nirmala UI Semilight"/>
          <w:i/>
          <w:iCs/>
          <w:u w:val="single"/>
        </w:rPr>
        <w:t>Additional Observations</w:t>
      </w:r>
      <w:r>
        <w:rPr>
          <w:rFonts w:ascii="Nirmala UI Semilight" w:hAnsi="Nirmala UI Semilight" w:cs="Nirmala UI Semilight"/>
          <w:i/>
          <w:iCs/>
        </w:rPr>
        <w:t xml:space="preserve">: </w:t>
      </w:r>
    </w:p>
    <w:p w14:paraId="03B4452D" w14:textId="77777777" w:rsidR="000F672D" w:rsidRDefault="000F672D" w:rsidP="00C41AFE">
      <w:pPr>
        <w:pStyle w:val="ListParagraph"/>
        <w:numPr>
          <w:ilvl w:val="0"/>
          <w:numId w:val="87"/>
        </w:numPr>
        <w:spacing w:after="0"/>
        <w:ind w:left="2520"/>
        <w:jc w:val="left"/>
        <w:rPr>
          <w:rFonts w:ascii="Nirmala UI Semilight" w:hAnsi="Nirmala UI Semilight" w:cs="Nirmala UI Semilight"/>
          <w:i/>
          <w:iCs/>
        </w:rPr>
      </w:pPr>
      <w:r>
        <w:rPr>
          <w:rFonts w:ascii="Nirmala UI Semilight" w:hAnsi="Nirmala UI Semilight" w:cs="Nirmala UI Semilight"/>
          <w:i/>
          <w:iCs/>
        </w:rPr>
        <w:t xml:space="preserve">If a concept isn’t scheduled to be worked on by a task force until Spring 2026, and the sponsors think it would be a quick change, they can work with appropriate stake holders to submit a Non-Task Force Proposal to implement it faster. </w:t>
      </w:r>
    </w:p>
    <w:p w14:paraId="35CE7CA5" w14:textId="77777777" w:rsidR="000F672D" w:rsidRDefault="000F672D" w:rsidP="000F672D">
      <w:pPr>
        <w:pStyle w:val="ListParagraph"/>
        <w:spacing w:after="0"/>
        <w:ind w:left="2520"/>
        <w:rPr>
          <w:rFonts w:ascii="Nirmala UI Semilight" w:hAnsi="Nirmala UI Semilight" w:cs="Nirmala UI Semilight"/>
          <w:i/>
          <w:iCs/>
        </w:rPr>
      </w:pPr>
    </w:p>
    <w:p w14:paraId="4D9084FE" w14:textId="77777777" w:rsidR="000F672D" w:rsidRPr="0066318C" w:rsidRDefault="000F672D" w:rsidP="00C41AFE">
      <w:pPr>
        <w:pStyle w:val="ListParagraph"/>
        <w:numPr>
          <w:ilvl w:val="0"/>
          <w:numId w:val="87"/>
        </w:numPr>
        <w:spacing w:after="0"/>
        <w:ind w:left="2520"/>
        <w:jc w:val="left"/>
        <w:rPr>
          <w:rFonts w:ascii="Nirmala UI Semilight" w:hAnsi="Nirmala UI Semilight" w:cs="Nirmala UI Semilight"/>
          <w:i/>
          <w:iCs/>
        </w:rPr>
      </w:pPr>
      <w:r>
        <w:rPr>
          <w:rFonts w:ascii="Nirmala UI Semilight" w:hAnsi="Nirmala UI Semilight" w:cs="Nirmala UI Semilight"/>
          <w:i/>
          <w:iCs/>
        </w:rPr>
        <w:t xml:space="preserve">Consider when putting together the next workplan (2026) we consider those that had been submitted for that year and can resubmit knowing if things are resolved they can withdraw. </w:t>
      </w:r>
    </w:p>
    <w:p w14:paraId="3C4AEB86" w14:textId="77777777" w:rsidR="000F672D" w:rsidRDefault="000F672D" w:rsidP="000F672D">
      <w:pPr>
        <w:pStyle w:val="ListParagraph"/>
        <w:spacing w:after="0"/>
        <w:ind w:left="1800"/>
        <w:rPr>
          <w:rFonts w:ascii="Nirmala UI Semilight" w:hAnsi="Nirmala UI Semilight" w:cs="Nirmala UI Semilight"/>
          <w:i/>
          <w:iCs/>
          <w:u w:val="single"/>
        </w:rPr>
      </w:pPr>
    </w:p>
    <w:p w14:paraId="213A590F" w14:textId="77777777" w:rsidR="000F672D" w:rsidRPr="00C30238" w:rsidRDefault="000F672D" w:rsidP="00C41AFE">
      <w:pPr>
        <w:pStyle w:val="ListParagraph"/>
        <w:numPr>
          <w:ilvl w:val="0"/>
          <w:numId w:val="75"/>
        </w:numPr>
        <w:spacing w:after="0"/>
        <w:jc w:val="left"/>
        <w:rPr>
          <w:rFonts w:ascii="Nirmala UI Semilight" w:hAnsi="Nirmala UI Semilight" w:cs="Nirmala UI Semilight"/>
          <w:i/>
          <w:iCs/>
          <w:u w:val="single"/>
        </w:rPr>
      </w:pPr>
      <w:r w:rsidRPr="00C30238">
        <w:rPr>
          <w:rFonts w:ascii="Nirmala UI Semilight" w:hAnsi="Nirmala UI Semilight" w:cs="Nirmala UI Semilight"/>
          <w:i/>
          <w:iCs/>
          <w:u w:val="single"/>
        </w:rPr>
        <w:t>Next Steps:</w:t>
      </w:r>
    </w:p>
    <w:p w14:paraId="56776512" w14:textId="77777777" w:rsidR="000F672D" w:rsidRPr="00C30238" w:rsidRDefault="000F672D" w:rsidP="00C41AFE">
      <w:pPr>
        <w:pStyle w:val="ListParagraph"/>
        <w:numPr>
          <w:ilvl w:val="0"/>
          <w:numId w:val="79"/>
        </w:numPr>
        <w:spacing w:after="0"/>
        <w:jc w:val="left"/>
        <w:rPr>
          <w:rFonts w:ascii="Nirmala UI Semilight" w:hAnsi="Nirmala UI Semilight" w:cs="Nirmala UI Semilight"/>
          <w:i/>
          <w:iCs/>
        </w:rPr>
      </w:pPr>
      <w:r w:rsidRPr="00C30238">
        <w:rPr>
          <w:rFonts w:ascii="Nirmala UI Semilight" w:hAnsi="Nirmala UI Semilight" w:cs="Nirmala UI Semilight"/>
          <w:i/>
          <w:iCs/>
        </w:rPr>
        <w:t>Solicit feedback on the proposed schedule and possible changes.</w:t>
      </w:r>
    </w:p>
    <w:p w14:paraId="3D6D4E76" w14:textId="77777777" w:rsidR="000F672D" w:rsidRPr="00C30238" w:rsidRDefault="000F672D" w:rsidP="00C41AFE">
      <w:pPr>
        <w:pStyle w:val="ListParagraph"/>
        <w:numPr>
          <w:ilvl w:val="0"/>
          <w:numId w:val="79"/>
        </w:numPr>
        <w:spacing w:after="0"/>
        <w:jc w:val="left"/>
        <w:rPr>
          <w:rFonts w:ascii="Nirmala UI Semilight" w:hAnsi="Nirmala UI Semilight" w:cs="Nirmala UI Semilight"/>
          <w:i/>
          <w:iCs/>
        </w:rPr>
      </w:pPr>
      <w:r w:rsidRPr="00C30238">
        <w:rPr>
          <w:rFonts w:ascii="Nirmala UI Semilight" w:hAnsi="Nirmala UI Semilight" w:cs="Nirmala UI Semilight"/>
          <w:i/>
          <w:iCs/>
        </w:rPr>
        <w:t>Draft the 2025 work plan considering flexibility and prioritization exercises.</w:t>
      </w:r>
    </w:p>
    <w:p w14:paraId="2567E66D" w14:textId="77777777" w:rsidR="000F672D" w:rsidRPr="00AA3689" w:rsidRDefault="000F672D" w:rsidP="000F672D">
      <w:pPr>
        <w:pStyle w:val="ListParagraph"/>
        <w:spacing w:after="0"/>
        <w:ind w:left="2160"/>
        <w:rPr>
          <w:rFonts w:ascii="Nirmala UI Semilight" w:hAnsi="Nirmala UI Semilight" w:cs="Nirmala UI Semilight"/>
          <w:i/>
          <w:iCs/>
        </w:rPr>
      </w:pPr>
    </w:p>
    <w:p w14:paraId="1DFFAA1C" w14:textId="77777777" w:rsidR="000F672D" w:rsidRDefault="000F672D" w:rsidP="000F672D">
      <w:pPr>
        <w:pStyle w:val="ListParagraph"/>
        <w:numPr>
          <w:ilvl w:val="1"/>
          <w:numId w:val="22"/>
        </w:numPr>
        <w:spacing w:after="0"/>
        <w:jc w:val="left"/>
        <w:rPr>
          <w:rFonts w:ascii="Nirmala UI Semilight" w:hAnsi="Nirmala UI Semilight" w:cs="Nirmala UI Semilight"/>
        </w:rPr>
      </w:pPr>
      <w:r>
        <w:rPr>
          <w:rFonts w:ascii="Nirmala UI Semilight" w:hAnsi="Nirmala UI Semilight" w:cs="Nirmala UI Semilight"/>
        </w:rPr>
        <w:lastRenderedPageBreak/>
        <w:t>Discuss process for handling additional Concepts if Workplan time becomes available:</w:t>
      </w:r>
    </w:p>
    <w:p w14:paraId="742DA4B9" w14:textId="77777777" w:rsidR="000F672D" w:rsidRPr="00F429F1" w:rsidRDefault="000F672D" w:rsidP="000F672D">
      <w:pPr>
        <w:spacing w:after="0" w:line="240" w:lineRule="auto"/>
        <w:rPr>
          <w:rFonts w:ascii="Nirmala UI Semilight" w:hAnsi="Nirmala UI Semilight" w:cs="Nirmala UI Semilight"/>
        </w:rPr>
      </w:pPr>
    </w:p>
    <w:p w14:paraId="16154206" w14:textId="77777777" w:rsidR="000F672D" w:rsidRPr="00312E75" w:rsidRDefault="000F672D" w:rsidP="00C41AFE">
      <w:pPr>
        <w:pStyle w:val="ListParagraph"/>
        <w:numPr>
          <w:ilvl w:val="0"/>
          <w:numId w:val="75"/>
        </w:numPr>
        <w:spacing w:after="0"/>
        <w:jc w:val="left"/>
        <w:rPr>
          <w:rFonts w:ascii="Nirmala UI Semilight" w:hAnsi="Nirmala UI Semilight" w:cs="Nirmala UI Semilight"/>
          <w:i/>
          <w:iCs/>
        </w:rPr>
      </w:pPr>
      <w:r w:rsidRPr="00312E75">
        <w:rPr>
          <w:rFonts w:ascii="Nirmala UI Semilight" w:hAnsi="Nirmala UI Semilight" w:cs="Nirmala UI Semilight"/>
          <w:i/>
          <w:iCs/>
        </w:rPr>
        <w:t xml:space="preserve">PRC </w:t>
      </w:r>
      <w:r>
        <w:rPr>
          <w:rFonts w:ascii="Nirmala UI Semilight" w:hAnsi="Nirmala UI Semilight" w:cs="Nirmala UI Semilight"/>
          <w:i/>
          <w:iCs/>
        </w:rPr>
        <w:t>supports the</w:t>
      </w:r>
      <w:r w:rsidRPr="00312E75">
        <w:rPr>
          <w:rFonts w:ascii="Nirmala UI Semilight" w:hAnsi="Nirmala UI Semilight" w:cs="Nirmala UI Semilight"/>
          <w:i/>
          <w:iCs/>
        </w:rPr>
        <w:t xml:space="preserve"> basic prioritization foundation but wants to make sure the</w:t>
      </w:r>
      <w:r>
        <w:rPr>
          <w:rFonts w:ascii="Nirmala UI Semilight" w:hAnsi="Nirmala UI Semilight" w:cs="Nirmala UI Semilight"/>
          <w:i/>
          <w:iCs/>
        </w:rPr>
        <w:t xml:space="preserve"> language in </w:t>
      </w:r>
      <w:proofErr w:type="gramStart"/>
      <w:r>
        <w:rPr>
          <w:rFonts w:ascii="Nirmala UI Semilight" w:hAnsi="Nirmala UI Semilight" w:cs="Nirmala UI Semilight"/>
          <w:i/>
          <w:iCs/>
        </w:rPr>
        <w:t>the  Draft</w:t>
      </w:r>
      <w:proofErr w:type="gramEnd"/>
      <w:r>
        <w:rPr>
          <w:rFonts w:ascii="Nirmala UI Semilight" w:hAnsi="Nirmala UI Semilight" w:cs="Nirmala UI Semilight"/>
          <w:i/>
          <w:iCs/>
        </w:rPr>
        <w:t xml:space="preserve"> 2025 W</w:t>
      </w:r>
      <w:r w:rsidRPr="00312E75">
        <w:rPr>
          <w:rFonts w:ascii="Nirmala UI Semilight" w:hAnsi="Nirmala UI Semilight" w:cs="Nirmala UI Semilight"/>
          <w:i/>
          <w:iCs/>
        </w:rPr>
        <w:t xml:space="preserve">orkplan </w:t>
      </w:r>
      <w:r>
        <w:rPr>
          <w:rFonts w:ascii="Nirmala UI Semilight" w:hAnsi="Nirmala UI Semilight" w:cs="Nirmala UI Semilight"/>
          <w:i/>
          <w:iCs/>
        </w:rPr>
        <w:t>allows</w:t>
      </w:r>
      <w:r w:rsidRPr="00312E75">
        <w:rPr>
          <w:rFonts w:ascii="Nirmala UI Semilight" w:hAnsi="Nirmala UI Semilight" w:cs="Nirmala UI Semilight"/>
          <w:i/>
          <w:iCs/>
        </w:rPr>
        <w:t xml:space="preserve"> for flexibility in case a proposal ends up being more important than anticipated, or if there are staffing challenges that weren’t anticipated, or in case some proposals get pulled, etc. </w:t>
      </w:r>
    </w:p>
    <w:p w14:paraId="48929A8C" w14:textId="77777777" w:rsidR="000F672D" w:rsidRPr="00312E75" w:rsidRDefault="000F672D" w:rsidP="000F672D">
      <w:pPr>
        <w:pStyle w:val="ListParagraph"/>
        <w:spacing w:after="0"/>
        <w:ind w:left="1440"/>
        <w:rPr>
          <w:rFonts w:ascii="Nirmala UI Semilight" w:hAnsi="Nirmala UI Semilight" w:cs="Nirmala UI Semilight"/>
          <w:i/>
          <w:iCs/>
        </w:rPr>
      </w:pPr>
    </w:p>
    <w:p w14:paraId="3B3FD9CE" w14:textId="77777777" w:rsidR="000F672D" w:rsidRPr="00312E75" w:rsidRDefault="000F672D" w:rsidP="00C41AFE">
      <w:pPr>
        <w:pStyle w:val="ListParagraph"/>
        <w:numPr>
          <w:ilvl w:val="0"/>
          <w:numId w:val="75"/>
        </w:numPr>
        <w:spacing w:after="0"/>
        <w:jc w:val="left"/>
        <w:rPr>
          <w:rFonts w:ascii="Nirmala UI Semilight" w:hAnsi="Nirmala UI Semilight" w:cs="Nirmala UI Semilight"/>
          <w:i/>
          <w:iCs/>
        </w:rPr>
      </w:pPr>
      <w:r w:rsidRPr="00312E75">
        <w:rPr>
          <w:rFonts w:ascii="Nirmala UI Semilight" w:hAnsi="Nirmala UI Semilight" w:cs="Nirmala UI Semilight"/>
          <w:i/>
          <w:iCs/>
        </w:rPr>
        <w:t xml:space="preserve">There was a question pertaining to re-evaluating the Level of Effort assigned to each concept. It was determined that the PRC will not spend more time reviewing the Level of Effort, and if a participant thinks a concept can be completed </w:t>
      </w:r>
      <w:r>
        <w:rPr>
          <w:rFonts w:ascii="Nirmala UI Semilight" w:hAnsi="Nirmala UI Semilight" w:cs="Nirmala UI Semilight"/>
          <w:i/>
          <w:iCs/>
        </w:rPr>
        <w:t>faster than the effort assigned,</w:t>
      </w:r>
      <w:r w:rsidRPr="00312E75">
        <w:rPr>
          <w:rFonts w:ascii="Nirmala UI Semilight" w:hAnsi="Nirmala UI Semilight" w:cs="Nirmala UI Semilight"/>
          <w:i/>
          <w:iCs/>
        </w:rPr>
        <w:t xml:space="preserve"> they can consider working with their stakeholders and submit it as a</w:t>
      </w:r>
      <w:r>
        <w:rPr>
          <w:rFonts w:ascii="Nirmala UI Semilight" w:hAnsi="Nirmala UI Semilight" w:cs="Nirmala UI Semilight"/>
          <w:i/>
          <w:iCs/>
        </w:rPr>
        <w:t xml:space="preserve"> Non-Task Force Proposal (</w:t>
      </w:r>
      <w:r w:rsidRPr="00312E75">
        <w:rPr>
          <w:rFonts w:ascii="Nirmala UI Semilight" w:hAnsi="Nirmala UI Semilight" w:cs="Nirmala UI Semilight"/>
          <w:i/>
          <w:iCs/>
        </w:rPr>
        <w:t>NTFP</w:t>
      </w:r>
      <w:r>
        <w:rPr>
          <w:rFonts w:ascii="Nirmala UI Semilight" w:hAnsi="Nirmala UI Semilight" w:cs="Nirmala UI Semilight"/>
          <w:i/>
          <w:iCs/>
        </w:rPr>
        <w:t>)</w:t>
      </w:r>
      <w:r w:rsidRPr="00312E75">
        <w:rPr>
          <w:rFonts w:ascii="Nirmala UI Semilight" w:hAnsi="Nirmala UI Semilight" w:cs="Nirmala UI Semilight"/>
          <w:i/>
          <w:iCs/>
        </w:rPr>
        <w:t xml:space="preserve">. </w:t>
      </w:r>
    </w:p>
    <w:p w14:paraId="1B9391B9" w14:textId="77777777" w:rsidR="000F672D" w:rsidRPr="00C03C8F" w:rsidRDefault="000F672D" w:rsidP="000F672D">
      <w:pPr>
        <w:pStyle w:val="ListParagraph"/>
        <w:spacing w:after="0"/>
        <w:ind w:left="1440"/>
        <w:rPr>
          <w:rFonts w:ascii="Nirmala UI Semilight" w:hAnsi="Nirmala UI Semilight" w:cs="Nirmala UI Semilight"/>
        </w:rPr>
      </w:pPr>
    </w:p>
    <w:p w14:paraId="074A308A" w14:textId="77777777" w:rsidR="000F672D" w:rsidRPr="00BE0875" w:rsidRDefault="000F672D" w:rsidP="000F672D">
      <w:pPr>
        <w:pStyle w:val="ListParagraph"/>
        <w:numPr>
          <w:ilvl w:val="1"/>
          <w:numId w:val="22"/>
        </w:numPr>
        <w:spacing w:after="0"/>
        <w:jc w:val="left"/>
        <w:rPr>
          <w:rFonts w:ascii="Nirmala UI Semilight" w:hAnsi="Nirmala UI Semilight" w:cs="Nirmala UI Semilight"/>
          <w:b/>
          <w:bCs/>
        </w:rPr>
      </w:pPr>
      <w:r>
        <w:rPr>
          <w:rFonts w:ascii="Nirmala UI Semilight" w:hAnsi="Nirmala UI Semilight" w:cs="Nirmala UI Semilight"/>
        </w:rPr>
        <w:t xml:space="preserve">Agree on </w:t>
      </w:r>
      <w:proofErr w:type="gramStart"/>
      <w:r>
        <w:rPr>
          <w:rFonts w:ascii="Nirmala UI Semilight" w:hAnsi="Nirmala UI Semilight" w:cs="Nirmala UI Semilight"/>
        </w:rPr>
        <w:t>schedule</w:t>
      </w:r>
      <w:proofErr w:type="gramEnd"/>
      <w:r>
        <w:rPr>
          <w:rFonts w:ascii="Nirmala UI Semilight" w:hAnsi="Nirmala UI Semilight" w:cs="Nirmala UI Semilight"/>
        </w:rPr>
        <w:t xml:space="preserve"> next steps to enable Draft PRC 2025 Workplan to be made available for public comment by March 15</w:t>
      </w:r>
      <w:r w:rsidRPr="00BE0875">
        <w:rPr>
          <w:rFonts w:ascii="Nirmala UI Semilight" w:hAnsi="Nirmala UI Semilight" w:cs="Nirmala UI Semilight"/>
          <w:vertAlign w:val="superscript"/>
        </w:rPr>
        <w:t>th</w:t>
      </w:r>
    </w:p>
    <w:p w14:paraId="3F29471D" w14:textId="5EBBD286" w:rsidR="000F672D" w:rsidRPr="00A91C8A" w:rsidRDefault="000F672D" w:rsidP="00C41AFE">
      <w:pPr>
        <w:pStyle w:val="ListParagraph"/>
        <w:numPr>
          <w:ilvl w:val="0"/>
          <w:numId w:val="75"/>
        </w:numPr>
        <w:spacing w:after="0"/>
        <w:jc w:val="left"/>
        <w:rPr>
          <w:rFonts w:ascii="Nirmala UI Semilight" w:hAnsi="Nirmala UI Semilight" w:cs="Nirmala UI Semilight"/>
          <w:b/>
          <w:bCs/>
        </w:rPr>
      </w:pPr>
      <w:proofErr w:type="gramStart"/>
      <w:r>
        <w:rPr>
          <w:rFonts w:ascii="Nirmala UI Semilight" w:hAnsi="Nirmala UI Semilight" w:cs="Nirmala UI Semilight"/>
          <w:i/>
          <w:iCs/>
        </w:rPr>
        <w:t>2025</w:t>
      </w:r>
      <w:proofErr w:type="gramEnd"/>
      <w:r>
        <w:rPr>
          <w:rFonts w:ascii="Nirmala UI Semilight" w:hAnsi="Nirmala UI Semilight" w:cs="Nirmala UI Semilight"/>
          <w:i/>
          <w:iCs/>
        </w:rPr>
        <w:t xml:space="preserve"> PRC Workplan might be bigger than you think because it will also be a Compliance document, documenting what the PRC says, what the Tariff and BPMS say, how we complied, what we asked people to for, what we ended up doing. Appendices will have a lot of meeting minutes. This will be the heart of it, but do not be surprised if you see a lot of other materials. </w:t>
      </w:r>
    </w:p>
    <w:p w14:paraId="2D99F67B" w14:textId="77777777" w:rsidR="000F672D" w:rsidRPr="00C44AB1" w:rsidRDefault="000F672D" w:rsidP="000F672D">
      <w:pPr>
        <w:spacing w:after="0" w:line="240" w:lineRule="auto"/>
        <w:rPr>
          <w:rFonts w:ascii="Nirmala UI Semilight" w:hAnsi="Nirmala UI Semilight" w:cs="Nirmala UI Semilight"/>
          <w:b/>
          <w:bCs/>
        </w:rPr>
      </w:pPr>
    </w:p>
    <w:p w14:paraId="0691A973" w14:textId="77777777" w:rsidR="000F672D" w:rsidRDefault="000F672D" w:rsidP="000F672D">
      <w:pPr>
        <w:pStyle w:val="ListParagraph"/>
        <w:numPr>
          <w:ilvl w:val="0"/>
          <w:numId w:val="22"/>
        </w:numPr>
        <w:spacing w:after="0"/>
        <w:jc w:val="left"/>
        <w:rPr>
          <w:rFonts w:ascii="Nirmala UI Semilight" w:hAnsi="Nirmala UI Semilight" w:cs="Nirmala UI Semilight"/>
          <w:b/>
          <w:bCs/>
        </w:rPr>
      </w:pPr>
      <w:r w:rsidRPr="0BF94030">
        <w:rPr>
          <w:rFonts w:ascii="Nirmala UI Semilight" w:hAnsi="Nirmala UI Semilight" w:cs="Nirmala UI Semilight"/>
          <w:b/>
          <w:bCs/>
        </w:rPr>
        <w:t xml:space="preserve">Next Steps </w:t>
      </w:r>
    </w:p>
    <w:p w14:paraId="1D1E4F4F" w14:textId="77777777" w:rsidR="000F672D" w:rsidRPr="00E6397C" w:rsidRDefault="000F672D" w:rsidP="000F672D">
      <w:pPr>
        <w:pStyle w:val="ListParagraph"/>
        <w:numPr>
          <w:ilvl w:val="1"/>
          <w:numId w:val="22"/>
        </w:numPr>
        <w:spacing w:after="0"/>
        <w:jc w:val="left"/>
        <w:textAlignment w:val="baseline"/>
        <w:rPr>
          <w:rFonts w:ascii="Nirmala UI Semilight" w:hAnsi="Nirmala UI Semilight" w:cs="Nirmala UI Semilight"/>
          <w:iCs/>
        </w:rPr>
      </w:pPr>
      <w:r w:rsidRPr="0BF94030">
        <w:rPr>
          <w:rFonts w:ascii="Nirmala UI Semilight" w:hAnsi="Nirmala UI Semilight" w:cs="Nirmala UI Semilight"/>
        </w:rPr>
        <w:t xml:space="preserve">2025 </w:t>
      </w:r>
      <w:r>
        <w:rPr>
          <w:rFonts w:ascii="Nirmala UI Semilight" w:hAnsi="Nirmala UI Semilight" w:cs="Nirmala UI Semilight"/>
        </w:rPr>
        <w:t xml:space="preserve">Draft </w:t>
      </w:r>
      <w:r w:rsidRPr="0BF94030">
        <w:rPr>
          <w:rFonts w:ascii="Nirmala UI Semilight" w:hAnsi="Nirmala UI Semilight" w:cs="Nirmala UI Semilight"/>
        </w:rPr>
        <w:t>Workplan Development</w:t>
      </w:r>
    </w:p>
    <w:p w14:paraId="2ED55BD2" w14:textId="77777777" w:rsidR="000F672D" w:rsidRDefault="000F672D" w:rsidP="00C41AFE">
      <w:pPr>
        <w:pStyle w:val="ListParagraph"/>
        <w:numPr>
          <w:ilvl w:val="1"/>
          <w:numId w:val="88"/>
        </w:numPr>
        <w:spacing w:after="0"/>
        <w:jc w:val="left"/>
        <w:rPr>
          <w:rFonts w:ascii="Nirmala UI Semilight" w:hAnsi="Nirmala UI Semilight" w:cs="Nirmala UI Semilight"/>
          <w:i/>
          <w:iCs/>
        </w:rPr>
      </w:pPr>
      <w:r>
        <w:rPr>
          <w:rFonts w:ascii="Nirmala UI Semilight" w:hAnsi="Nirmala UI Semilight" w:cs="Nirmala UI Semilight"/>
          <w:i/>
          <w:iCs/>
        </w:rPr>
        <w:t xml:space="preserve">Michael will have a Draft Workplan for the PRC </w:t>
      </w:r>
      <w:r w:rsidRPr="0097774E">
        <w:rPr>
          <w:rFonts w:ascii="Nirmala UI Semilight" w:hAnsi="Nirmala UI Semilight" w:cs="Nirmala UI Semilight"/>
          <w:i/>
          <w:iCs/>
        </w:rPr>
        <w:t xml:space="preserve">by </w:t>
      </w:r>
      <w:r>
        <w:rPr>
          <w:rFonts w:ascii="Nirmala UI Semilight" w:hAnsi="Nirmala UI Semilight" w:cs="Nirmala UI Semilight"/>
          <w:i/>
          <w:iCs/>
        </w:rPr>
        <w:t>Thursday, February 27</w:t>
      </w:r>
      <w:r w:rsidRPr="00E6397C">
        <w:rPr>
          <w:rFonts w:ascii="Nirmala UI Semilight" w:hAnsi="Nirmala UI Semilight" w:cs="Nirmala UI Semilight"/>
          <w:i/>
          <w:iCs/>
          <w:vertAlign w:val="superscript"/>
        </w:rPr>
        <w:t>th</w:t>
      </w:r>
      <w:r>
        <w:rPr>
          <w:rFonts w:ascii="Nirmala UI Semilight" w:hAnsi="Nirmala UI Semilight" w:cs="Nirmala UI Semilight"/>
          <w:i/>
          <w:iCs/>
        </w:rPr>
        <w:t xml:space="preserve">. </w:t>
      </w:r>
    </w:p>
    <w:p w14:paraId="4A306420" w14:textId="77777777" w:rsidR="000F672D" w:rsidRDefault="000F672D" w:rsidP="00C41AFE">
      <w:pPr>
        <w:pStyle w:val="ListParagraph"/>
        <w:numPr>
          <w:ilvl w:val="1"/>
          <w:numId w:val="88"/>
        </w:numPr>
        <w:spacing w:after="0"/>
        <w:jc w:val="left"/>
        <w:rPr>
          <w:rFonts w:ascii="Nirmala UI Semilight" w:hAnsi="Nirmala UI Semilight" w:cs="Nirmala UI Semilight"/>
          <w:i/>
          <w:iCs/>
        </w:rPr>
      </w:pPr>
      <w:r>
        <w:rPr>
          <w:rFonts w:ascii="Nirmala UI Semilight" w:hAnsi="Nirmala UI Semilight" w:cs="Nirmala UI Semilight"/>
          <w:i/>
          <w:iCs/>
        </w:rPr>
        <w:t xml:space="preserve">During the PRC meeting on Wednesday, March </w:t>
      </w:r>
      <w:proofErr w:type="gramStart"/>
      <w:r>
        <w:rPr>
          <w:rFonts w:ascii="Nirmala UI Semilight" w:hAnsi="Nirmala UI Semilight" w:cs="Nirmala UI Semilight"/>
          <w:i/>
          <w:iCs/>
        </w:rPr>
        <w:t>5</w:t>
      </w:r>
      <w:r w:rsidRPr="00E6397C">
        <w:rPr>
          <w:rFonts w:ascii="Nirmala UI Semilight" w:hAnsi="Nirmala UI Semilight" w:cs="Nirmala UI Semilight"/>
          <w:i/>
          <w:iCs/>
          <w:vertAlign w:val="superscript"/>
        </w:rPr>
        <w:t>th</w:t>
      </w:r>
      <w:proofErr w:type="gramEnd"/>
      <w:r>
        <w:rPr>
          <w:rFonts w:ascii="Nirmala UI Semilight" w:hAnsi="Nirmala UI Semilight" w:cs="Nirmala UI Semilight"/>
          <w:i/>
          <w:iCs/>
        </w:rPr>
        <w:t xml:space="preserve"> will </w:t>
      </w:r>
      <w:r w:rsidRPr="0097774E">
        <w:rPr>
          <w:rFonts w:ascii="Nirmala UI Semilight" w:hAnsi="Nirmala UI Semilight" w:cs="Nirmala UI Semilight"/>
          <w:i/>
          <w:iCs/>
        </w:rPr>
        <w:t>gather comments and suggestions</w:t>
      </w:r>
      <w:r>
        <w:rPr>
          <w:rFonts w:ascii="Nirmala UI Semilight" w:hAnsi="Nirmala UI Semilight" w:cs="Nirmala UI Semilight"/>
          <w:i/>
          <w:iCs/>
        </w:rPr>
        <w:t>.</w:t>
      </w:r>
    </w:p>
    <w:p w14:paraId="3D7DFB7D" w14:textId="77777777" w:rsidR="000F672D" w:rsidRPr="00E6397C" w:rsidRDefault="000F672D" w:rsidP="00C41AFE">
      <w:pPr>
        <w:pStyle w:val="ListParagraph"/>
        <w:numPr>
          <w:ilvl w:val="1"/>
          <w:numId w:val="88"/>
        </w:numPr>
        <w:spacing w:after="0"/>
        <w:jc w:val="left"/>
        <w:rPr>
          <w:rFonts w:ascii="Nirmala UI Semilight" w:hAnsi="Nirmala UI Semilight" w:cs="Nirmala UI Semilight"/>
          <w:i/>
          <w:iCs/>
        </w:rPr>
      </w:pPr>
      <w:r>
        <w:rPr>
          <w:rFonts w:ascii="Nirmala UI Semilight" w:hAnsi="Nirmala UI Semilight" w:cs="Nirmala UI Semilight"/>
          <w:i/>
          <w:iCs/>
        </w:rPr>
        <w:t xml:space="preserve">Update Draft with suggestions and </w:t>
      </w:r>
      <w:proofErr w:type="gramStart"/>
      <w:r>
        <w:rPr>
          <w:rFonts w:ascii="Nirmala UI Semilight" w:hAnsi="Nirmala UI Semilight" w:cs="Nirmala UI Semilight"/>
          <w:i/>
          <w:iCs/>
        </w:rPr>
        <w:t>send</w:t>
      </w:r>
      <w:proofErr w:type="gramEnd"/>
      <w:r>
        <w:rPr>
          <w:rFonts w:ascii="Nirmala UI Semilight" w:hAnsi="Nirmala UI Semilight" w:cs="Nirmala UI Semilight"/>
          <w:i/>
          <w:iCs/>
        </w:rPr>
        <w:t xml:space="preserve"> to the Board</w:t>
      </w:r>
      <w:r w:rsidRPr="0097774E">
        <w:rPr>
          <w:rFonts w:ascii="Nirmala UI Semilight" w:hAnsi="Nirmala UI Semilight" w:cs="Nirmala UI Semilight"/>
          <w:i/>
          <w:iCs/>
        </w:rPr>
        <w:t xml:space="preserve"> by </w:t>
      </w:r>
      <w:r>
        <w:rPr>
          <w:rFonts w:ascii="Nirmala UI Semilight" w:hAnsi="Nirmala UI Semilight" w:cs="Nirmala UI Semilight"/>
          <w:i/>
          <w:iCs/>
        </w:rPr>
        <w:t xml:space="preserve">Friday, </w:t>
      </w:r>
      <w:r w:rsidRPr="0097774E">
        <w:rPr>
          <w:rFonts w:ascii="Nirmala UI Semilight" w:hAnsi="Nirmala UI Semilight" w:cs="Nirmala UI Semilight"/>
          <w:i/>
          <w:iCs/>
        </w:rPr>
        <w:t xml:space="preserve">March 14th. </w:t>
      </w:r>
    </w:p>
    <w:p w14:paraId="2525B86A" w14:textId="77777777" w:rsidR="000F672D" w:rsidRPr="002F5BE4" w:rsidRDefault="000F672D" w:rsidP="000F672D">
      <w:pPr>
        <w:pStyle w:val="ListParagraph"/>
        <w:numPr>
          <w:ilvl w:val="1"/>
          <w:numId w:val="22"/>
        </w:numPr>
        <w:spacing w:after="0"/>
        <w:jc w:val="left"/>
        <w:textAlignment w:val="baseline"/>
        <w:rPr>
          <w:rFonts w:ascii="Nirmala UI Semilight" w:hAnsi="Nirmala UI Semilight" w:cs="Nirmala UI Semilight"/>
        </w:rPr>
      </w:pPr>
      <w:r w:rsidRPr="1D29F922">
        <w:rPr>
          <w:rFonts w:ascii="Nirmala UI Semilight" w:hAnsi="Nirmala UI Semilight" w:cs="Nirmala UI Semilight"/>
        </w:rPr>
        <w:t>Next PRC Meeting March 5</w:t>
      </w:r>
      <w:r w:rsidRPr="1D29F922">
        <w:rPr>
          <w:rFonts w:ascii="Nirmala UI Semilight" w:hAnsi="Nirmala UI Semilight" w:cs="Nirmala UI Semilight"/>
          <w:vertAlign w:val="superscript"/>
        </w:rPr>
        <w:t>th</w:t>
      </w:r>
      <w:r w:rsidRPr="1D29F922">
        <w:rPr>
          <w:rFonts w:ascii="Nirmala UI Semilight" w:hAnsi="Nirmala UI Semilight" w:cs="Nirmala UI Semilight"/>
        </w:rPr>
        <w:t xml:space="preserve"> </w:t>
      </w:r>
    </w:p>
    <w:p w14:paraId="477BAF02" w14:textId="77777777" w:rsidR="00A91C8A" w:rsidRDefault="00A91C8A">
      <w:pPr>
        <w:rPr>
          <w:rFonts w:asciiTheme="majorHAnsi" w:eastAsiaTheme="majorEastAsia" w:hAnsiTheme="majorHAnsi" w:cstheme="majorBidi"/>
          <w:color w:val="0F4761" w:themeColor="accent1" w:themeShade="BF"/>
          <w:sz w:val="40"/>
          <w:szCs w:val="40"/>
        </w:rPr>
      </w:pPr>
      <w:r>
        <w:br w:type="page"/>
      </w:r>
    </w:p>
    <w:p w14:paraId="6B81531D" w14:textId="38D704CD" w:rsidR="00203A0F" w:rsidRPr="00BC7E05" w:rsidRDefault="00203A0F" w:rsidP="00203A0F">
      <w:pPr>
        <w:pStyle w:val="Heading1"/>
        <w:rPr>
          <w:color w:val="auto"/>
        </w:rPr>
      </w:pPr>
      <w:bookmarkStart w:id="96" w:name="_Ref191379290"/>
      <w:bookmarkStart w:id="97" w:name="_Toc202176544"/>
      <w:bookmarkStart w:id="98" w:name="_Toc202176723"/>
      <w:r w:rsidRPr="00BC7E05">
        <w:rPr>
          <w:color w:val="auto"/>
        </w:rPr>
        <w:lastRenderedPageBreak/>
        <w:t xml:space="preserve">Appendix </w:t>
      </w:r>
      <w:r w:rsidR="00AA52FB" w:rsidRPr="00BC7E05">
        <w:rPr>
          <w:color w:val="auto"/>
        </w:rPr>
        <w:t>E</w:t>
      </w:r>
      <w:r w:rsidRPr="00BC7E05">
        <w:rPr>
          <w:color w:val="auto"/>
        </w:rPr>
        <w:t xml:space="preserve"> – </w:t>
      </w:r>
      <w:r w:rsidR="00F75040" w:rsidRPr="00BC7E05">
        <w:rPr>
          <w:color w:val="auto"/>
        </w:rPr>
        <w:t>2025 Workplan Sta</w:t>
      </w:r>
      <w:r w:rsidR="00436BF0" w:rsidRPr="00BC7E05">
        <w:rPr>
          <w:color w:val="auto"/>
        </w:rPr>
        <w:t>keholder Review Comments</w:t>
      </w:r>
      <w:bookmarkEnd w:id="96"/>
      <w:bookmarkEnd w:id="97"/>
      <w:bookmarkEnd w:id="98"/>
    </w:p>
    <w:p w14:paraId="5D93FCB7" w14:textId="77777777" w:rsidR="006E54DA" w:rsidRDefault="006E54DA" w:rsidP="00A05A8B">
      <w:pPr>
        <w:pStyle w:val="Heading2"/>
      </w:pPr>
      <w:bookmarkStart w:id="99" w:name="_Toc202176545"/>
      <w:r>
        <w:t>Comment Prompts</w:t>
      </w:r>
      <w:bookmarkEnd w:id="99"/>
    </w:p>
    <w:p w14:paraId="62567D15" w14:textId="77777777" w:rsidR="00A05A8B" w:rsidRPr="00A05A8B" w:rsidRDefault="00A05A8B" w:rsidP="00A05A8B">
      <w:r w:rsidRPr="00A05A8B">
        <w:t>01. Please supply any comments on the draft Task Force Schedule found in Figure 3</w:t>
      </w:r>
    </w:p>
    <w:p w14:paraId="2B09694B" w14:textId="77777777" w:rsidR="00A05A8B" w:rsidRPr="00A05A8B" w:rsidRDefault="00A05A8B" w:rsidP="00A05A8B">
      <w:r w:rsidRPr="00A05A8B">
        <w:t>02. Please supply any comments on Concepts that could impact a commitment to go Binding or remaining in the WRAP</w:t>
      </w:r>
    </w:p>
    <w:p w14:paraId="231933D8" w14:textId="77777777" w:rsidR="00A05A8B" w:rsidRPr="00A05A8B" w:rsidRDefault="00A05A8B" w:rsidP="00A05A8B">
      <w:r w:rsidRPr="00A05A8B">
        <w:t>03. Please supply any comments on the Executive Summary</w:t>
      </w:r>
    </w:p>
    <w:p w14:paraId="18E6B7E5" w14:textId="77777777" w:rsidR="00A05A8B" w:rsidRPr="00A05A8B" w:rsidRDefault="00A05A8B" w:rsidP="00A05A8B">
      <w:r w:rsidRPr="00A05A8B">
        <w:t>04. Please supply any comments on Section 1. Background</w:t>
      </w:r>
    </w:p>
    <w:p w14:paraId="6629782C" w14:textId="77777777" w:rsidR="00A05A8B" w:rsidRPr="00A05A8B" w:rsidRDefault="00A05A8B" w:rsidP="00A05A8B">
      <w:r w:rsidRPr="00A05A8B">
        <w:t>05. Please supply any comments on Section 2. PRC Prioritization Exercise</w:t>
      </w:r>
    </w:p>
    <w:p w14:paraId="5FF421B9" w14:textId="77777777" w:rsidR="00A05A8B" w:rsidRPr="00A05A8B" w:rsidRDefault="00A05A8B" w:rsidP="00A05A8B">
      <w:r w:rsidRPr="00A05A8B">
        <w:t>06. Please supply any comments on Section 3. Detailed Level of Effort Review</w:t>
      </w:r>
    </w:p>
    <w:p w14:paraId="33BEAC12" w14:textId="77777777" w:rsidR="00A05A8B" w:rsidRPr="00A05A8B" w:rsidRDefault="00A05A8B" w:rsidP="00A05A8B">
      <w:r w:rsidRPr="00A05A8B">
        <w:t>07. Please supply any comments on Section 4. Proposed Schedule and Plan of Action</w:t>
      </w:r>
    </w:p>
    <w:p w14:paraId="34DBFDAA" w14:textId="77777777" w:rsidR="00A05A8B" w:rsidRPr="00A05A8B" w:rsidRDefault="00A05A8B" w:rsidP="00A05A8B">
      <w:r w:rsidRPr="00A05A8B">
        <w:t>08. Please supply any comments on Section 6. Next Steps</w:t>
      </w:r>
    </w:p>
    <w:p w14:paraId="769F3567" w14:textId="77777777" w:rsidR="00A05A8B" w:rsidRPr="00A05A8B" w:rsidRDefault="00A05A8B" w:rsidP="00A05A8B">
      <w:r w:rsidRPr="00A05A8B">
        <w:t>09. Please supply any comments on Appendix A - Change Request Form Compilation</w:t>
      </w:r>
    </w:p>
    <w:p w14:paraId="54D097AB" w14:textId="77777777" w:rsidR="00A05A8B" w:rsidRPr="00A05A8B" w:rsidRDefault="00A05A8B" w:rsidP="00A05A8B">
      <w:r w:rsidRPr="00A05A8B">
        <w:t>10. Please supply any comments on Appendix B - PRC Minutes Dec. 18th, 2024</w:t>
      </w:r>
    </w:p>
    <w:p w14:paraId="615760A6" w14:textId="77777777" w:rsidR="00A05A8B" w:rsidRPr="00A05A8B" w:rsidRDefault="00A05A8B" w:rsidP="00A05A8B">
      <w:r w:rsidRPr="00A05A8B">
        <w:t>11. Please supply any comments on Appendix C - PRC Minutes Jan. 23rd, 2025</w:t>
      </w:r>
    </w:p>
    <w:p w14:paraId="10C92A01" w14:textId="3FFB46ED" w:rsidR="00DC77EB" w:rsidRPr="00A05A8B" w:rsidRDefault="00A05A8B">
      <w:r w:rsidRPr="00A05A8B">
        <w:t>12. Please supply any comments on Appendix D - PRC Minutes Feb. 19th, 2025</w:t>
      </w:r>
      <w:r w:rsidR="00DC77EB">
        <w:br w:type="page"/>
      </w:r>
    </w:p>
    <w:p w14:paraId="47342028" w14:textId="43C8FE1B" w:rsidR="009C1FE7" w:rsidRDefault="009C1FE7" w:rsidP="001429C0">
      <w:pPr>
        <w:pStyle w:val="Heading2"/>
      </w:pPr>
      <w:bookmarkStart w:id="100" w:name="_Toc202176546"/>
      <w:r>
        <w:lastRenderedPageBreak/>
        <w:t>APS</w:t>
      </w:r>
      <w:r w:rsidR="00DB1012">
        <w:t xml:space="preserve"> (Brandon Holms - </w:t>
      </w:r>
      <w:r w:rsidR="00DB1012" w:rsidRPr="00DB1012">
        <w:t>brandon.holmes@aps.com</w:t>
      </w:r>
      <w:r w:rsidR="00DB1012">
        <w:t>)</w:t>
      </w:r>
      <w:bookmarkEnd w:id="100"/>
      <w:r w:rsidR="00DB1012">
        <w:t xml:space="preserve"> </w:t>
      </w:r>
    </w:p>
    <w:p w14:paraId="7F1A06AF" w14:textId="6D8CA21D" w:rsidR="009C1FE7" w:rsidRPr="009C1FE7" w:rsidRDefault="009C1FE7" w:rsidP="009C1FE7">
      <w:r w:rsidRPr="009C1FE7">
        <w:rPr>
          <w:b/>
          <w:bCs/>
        </w:rPr>
        <w:t>01. Please supply any comments on the draft Task Force Schedule found in Figure 3</w:t>
      </w:r>
    </w:p>
    <w:p w14:paraId="247F68C1" w14:textId="77777777" w:rsidR="009C1FE7" w:rsidRPr="009C1FE7" w:rsidRDefault="009C1FE7" w:rsidP="009C1FE7">
      <w:r w:rsidRPr="009C1FE7">
        <w:t>APS is supportive of the Task Force Schedule as outlined in Figure 3. This schedule is aligned to the prioritization ordered by stakeholders during the January 2025 PRC.</w:t>
      </w:r>
    </w:p>
    <w:p w14:paraId="46E26D49" w14:textId="77777777" w:rsidR="009C1FE7" w:rsidRPr="009C1FE7" w:rsidRDefault="009C1FE7" w:rsidP="009C1FE7">
      <w:r w:rsidRPr="009C1FE7">
        <w:rPr>
          <w:b/>
          <w:bCs/>
        </w:rPr>
        <w:t>02. Please supply any comments on Concepts that could impact a commitment to go Binding or remaining in the WRAP</w:t>
      </w:r>
    </w:p>
    <w:p w14:paraId="778753B2" w14:textId="77777777" w:rsidR="009C1FE7" w:rsidRPr="009C1FE7" w:rsidRDefault="009C1FE7" w:rsidP="009C1FE7">
      <w:r w:rsidRPr="009C1FE7">
        <w:t xml:space="preserve">APS supports the current prioritization as a reflection of the January PRC meeting but has heard that the CRF 2 on Earlier Forward Showing Metrics may be something other WRAP participants are looking at as a potential deciding factor for participation. APS would like WPP and the PRC to consider if this is accurate before re-arranging. From APS’ perspective the proposal wouldn’t be implemented in time to make a difference for </w:t>
      </w:r>
      <w:proofErr w:type="gramStart"/>
      <w:r w:rsidRPr="009C1FE7">
        <w:t>a Summer 2027</w:t>
      </w:r>
      <w:proofErr w:type="gramEnd"/>
      <w:r w:rsidRPr="009C1FE7">
        <w:t xml:space="preserve"> binding decision in January of 2026. APS isn’t opposed to the Concept but is unsure if changing </w:t>
      </w:r>
      <w:proofErr w:type="gramStart"/>
      <w:r w:rsidRPr="009C1FE7">
        <w:t>the prioritization</w:t>
      </w:r>
      <w:proofErr w:type="gramEnd"/>
      <w:r w:rsidRPr="009C1FE7">
        <w:t xml:space="preserve"> would be warranted at this juncture and would prefer to keep the DA Optimization effort as a higher priority based on current understanding. APS supports CRF 5 on Load Growth Factor being addressed in 2025 as proper load forecasting is critical to understanding how many resources are necessary to maintain adequacy, as well as the equitable treatment of entities within the program.</w:t>
      </w:r>
    </w:p>
    <w:p w14:paraId="489817B1" w14:textId="77777777" w:rsidR="009C1FE7" w:rsidRPr="009C1FE7" w:rsidRDefault="009C1FE7" w:rsidP="009C1FE7">
      <w:r w:rsidRPr="009C1FE7">
        <w:rPr>
          <w:b/>
          <w:bCs/>
        </w:rPr>
        <w:t>06. Please supply any comments on Section 3. Detailed Level of Effort Review</w:t>
      </w:r>
    </w:p>
    <w:p w14:paraId="0DD1BFCA" w14:textId="77777777" w:rsidR="009C1FE7" w:rsidRPr="009C1FE7" w:rsidRDefault="009C1FE7" w:rsidP="009C1FE7">
      <w:r w:rsidRPr="009C1FE7">
        <w:t>APS participated in the PRC Prioritization Exercise in January. We appreciate all the thought and work that went into that exercise. Something that the PRC and WPP may consider for this exercise next year would be to provide some time for each of the concepts to be presented at a high level to the stakeholders prior to the voting exercise.</w:t>
      </w:r>
    </w:p>
    <w:p w14:paraId="42B75DBB" w14:textId="77777777" w:rsidR="009C1FE7" w:rsidRPr="009C1FE7" w:rsidRDefault="009C1FE7" w:rsidP="009C1FE7">
      <w:r w:rsidRPr="009C1FE7">
        <w:rPr>
          <w:b/>
          <w:bCs/>
        </w:rPr>
        <w:t>07. Please supply any comments on Section 4. Proposed Schedule and Plan of Action</w:t>
      </w:r>
    </w:p>
    <w:p w14:paraId="0F93B55D" w14:textId="467FF412" w:rsidR="004F5FC7" w:rsidRDefault="009C1FE7" w:rsidP="009C1FE7">
      <w:r w:rsidRPr="009C1FE7">
        <w:t>APS supports the approach for implementation of the 2025 Workplan’s schedule, which balances the Concept prioritization as the foundation of the Workplan while allowing for flexibility to address special circumstances.</w:t>
      </w:r>
    </w:p>
    <w:p w14:paraId="772AF82E" w14:textId="24FCFA66" w:rsidR="009C1FE7" w:rsidRPr="009C1FE7" w:rsidRDefault="004F5FC7" w:rsidP="009C1FE7">
      <w:r>
        <w:br w:type="page"/>
      </w:r>
    </w:p>
    <w:p w14:paraId="48656A84" w14:textId="4D465183" w:rsidR="009C1FE7" w:rsidRDefault="00100CDC" w:rsidP="004742AA">
      <w:pPr>
        <w:pStyle w:val="Heading2"/>
      </w:pPr>
      <w:bookmarkStart w:id="101" w:name="_Toc202176547"/>
      <w:r>
        <w:lastRenderedPageBreak/>
        <w:t>PAC</w:t>
      </w:r>
      <w:r w:rsidR="0014657C">
        <w:t xml:space="preserve"> (Benjamin Faulkinberry - </w:t>
      </w:r>
      <w:r w:rsidR="002D45D6" w:rsidRPr="002D45D6">
        <w:t>benjamin.faulkinberry@pacificorp.com</w:t>
      </w:r>
      <w:r w:rsidR="002D45D6">
        <w:t>)</w:t>
      </w:r>
      <w:bookmarkEnd w:id="101"/>
    </w:p>
    <w:p w14:paraId="6AA26170" w14:textId="77777777" w:rsidR="004742AA" w:rsidRPr="004742AA" w:rsidRDefault="004742AA" w:rsidP="004742AA">
      <w:r w:rsidRPr="004742AA">
        <w:rPr>
          <w:b/>
          <w:bCs/>
        </w:rPr>
        <w:t>01. Please supply any comments on the draft Task Force Schedule found in Figure 3</w:t>
      </w:r>
    </w:p>
    <w:p w14:paraId="580EFBE6" w14:textId="27E0CFF8" w:rsidR="004F5FC7" w:rsidRDefault="004742AA" w:rsidP="00203A0F">
      <w:r w:rsidRPr="004742AA">
        <w:t xml:space="preserve">PacifiCorp appreciates the time and robust collaboration amongst PRC stakeholders to arrive at the 2025 PRC workplan and values the opportunity to comment. PacifiCorp views binding WRAP Participation as a serious commitment with significant repercussions associated with non-compliance. Program efforts to reduce uncertainty of the FS Capacity Requirement should be prioritized as current Participants approach a financially binding phase. Addressing uncertainty and volatility associated with core elements of the program, such as those outlined in 2024-CRF-002 should take priority in 2025. PacifiCorp acknowledges not all uncertainty can be addressed in this round of changes, and certainly not entirely within 2025. With the resources available to the </w:t>
      </w:r>
      <w:proofErr w:type="gramStart"/>
      <w:r w:rsidRPr="004742AA">
        <w:t>program, and</w:t>
      </w:r>
      <w:proofErr w:type="gramEnd"/>
      <w:r w:rsidRPr="004742AA">
        <w:t xml:space="preserve"> given the Workplan Development and Approval timeline as provided in BPM 301, PacifiCorp views the remainder of the current schedule to be reasonable.</w:t>
      </w:r>
    </w:p>
    <w:p w14:paraId="76973295" w14:textId="77777777" w:rsidR="004F5FC7" w:rsidRDefault="004F5FC7">
      <w:r>
        <w:br w:type="page"/>
      </w:r>
    </w:p>
    <w:p w14:paraId="49B10A31" w14:textId="4D96E83E" w:rsidR="00203A0F" w:rsidRDefault="00C031AC" w:rsidP="00777298">
      <w:pPr>
        <w:pStyle w:val="Heading2"/>
      </w:pPr>
      <w:bookmarkStart w:id="102" w:name="_Toc202176548"/>
      <w:r>
        <w:lastRenderedPageBreak/>
        <w:t>TPWR</w:t>
      </w:r>
      <w:r w:rsidR="00C74DCC">
        <w:t xml:space="preserve"> (</w:t>
      </w:r>
      <w:r w:rsidR="00C74DCC" w:rsidRPr="00C74DCC">
        <w:t>Thad LeVar</w:t>
      </w:r>
      <w:r w:rsidR="00C74DCC">
        <w:t xml:space="preserve"> - </w:t>
      </w:r>
      <w:r w:rsidR="007636A2" w:rsidRPr="007636A2">
        <w:t>tlevar@cityoftacoma.org</w:t>
      </w:r>
      <w:r w:rsidR="007636A2">
        <w:t>)</w:t>
      </w:r>
      <w:bookmarkEnd w:id="102"/>
    </w:p>
    <w:p w14:paraId="33F960D0" w14:textId="77777777" w:rsidR="00C031AC" w:rsidRPr="00C031AC" w:rsidRDefault="00C031AC" w:rsidP="00C031AC">
      <w:r w:rsidRPr="00C031AC">
        <w:rPr>
          <w:b/>
          <w:bCs/>
        </w:rPr>
        <w:t>05. Please supply any comments on Section 2. PRC Prioritization Exercise</w:t>
      </w:r>
    </w:p>
    <w:p w14:paraId="0103D4C6" w14:textId="77777777" w:rsidR="00C031AC" w:rsidRPr="00C031AC" w:rsidRDefault="00C031AC" w:rsidP="00C031AC">
      <w:r w:rsidRPr="00C031AC">
        <w:t xml:space="preserve">Electricity demand is rapidly increasing, driven by emerging loads such as electric vehicles (EVs), data centers, and widespread electrification. However, the pace of supply growth is not keeping up—slowed by interconnection queue backlogs, transmission build-out challenges, and other systemic bottlenecks. Utilities are caught in the middle, working hard to scale up power infrastructure to meet this accelerating demand. </w:t>
      </w:r>
      <w:proofErr w:type="gramStart"/>
      <w:r w:rsidRPr="00C031AC">
        <w:t>In light of</w:t>
      </w:r>
      <w:proofErr w:type="gramEnd"/>
      <w:r w:rsidRPr="00C031AC">
        <w:t xml:space="preserve"> these unprecedented pressures, it is essential that utilities are given greater certainty to plan effectively for future needs. To that end, Tacoma Power proposes a modest yet important adjustment to the PRC workplan: 1. Prioritize and expedite the task force workstream focused on Forward Showing stability and monthly planning reserve margin volatility. This work should begin as soon as possible. 2. To allocate resources effectively, the load growth factor task force workstream should be postponed until 2026, allowing focus on the more urgent Forward Showing and PRM volatility efforts.</w:t>
      </w:r>
    </w:p>
    <w:p w14:paraId="5FF27F5E" w14:textId="77777777" w:rsidR="00C031AC" w:rsidRPr="00C031AC" w:rsidRDefault="00C031AC" w:rsidP="00C031AC">
      <w:r w:rsidRPr="00C031AC">
        <w:rPr>
          <w:b/>
          <w:bCs/>
        </w:rPr>
        <w:t>General Comment</w:t>
      </w:r>
    </w:p>
    <w:p w14:paraId="2C8A5FF3" w14:textId="60AFFCF2" w:rsidR="00777298" w:rsidRDefault="00C031AC" w:rsidP="00203A0F">
      <w:r w:rsidRPr="00C031AC">
        <w:t>These comments are submitted on behalf of Ray Johnson, Deputy General Manager, Tacoma Power.</w:t>
      </w:r>
    </w:p>
    <w:p w14:paraId="5A87A7F4" w14:textId="77777777" w:rsidR="00777298" w:rsidRDefault="00777298">
      <w:r>
        <w:br w:type="page"/>
      </w:r>
    </w:p>
    <w:p w14:paraId="4316E730" w14:textId="4E47219B" w:rsidR="00C031AC" w:rsidRDefault="00777298" w:rsidP="00004C07">
      <w:pPr>
        <w:pStyle w:val="Heading2"/>
      </w:pPr>
      <w:bookmarkStart w:id="103" w:name="_Toc202176549"/>
      <w:r>
        <w:lastRenderedPageBreak/>
        <w:t>NVE</w:t>
      </w:r>
      <w:r w:rsidR="00182384">
        <w:t xml:space="preserve"> (Lindsey Schlekeway - </w:t>
      </w:r>
      <w:r w:rsidR="00182384" w:rsidRPr="00182384">
        <w:t>lindsey.schlekeway@nvenergy.com</w:t>
      </w:r>
      <w:r w:rsidR="00182384">
        <w:t>)</w:t>
      </w:r>
      <w:bookmarkEnd w:id="103"/>
    </w:p>
    <w:p w14:paraId="5AF577B3" w14:textId="77777777" w:rsidR="00004C07" w:rsidRPr="00004C07" w:rsidRDefault="00004C07" w:rsidP="00004C07">
      <w:r w:rsidRPr="00004C07">
        <w:rPr>
          <w:b/>
          <w:bCs/>
        </w:rPr>
        <w:t>01. Please supply any comments on the draft Task Force Schedule found in Figure 3</w:t>
      </w:r>
    </w:p>
    <w:p w14:paraId="15FDE925" w14:textId="77777777" w:rsidR="00004C07" w:rsidRPr="00004C07" w:rsidRDefault="00004C07" w:rsidP="00004C07">
      <w:r w:rsidRPr="00004C07">
        <w:t>NV Energy appreciates the opportunity to comment on the 2025 Draft PRC Workplan and offers the following comments for consideration. NV Energy recommends that the PRC revise the Task Force Schedule to prioritize change requests that address uncertainty in the Forward Showing program before other high priority change requests. WRAP has yet to achieve binding program participation and should strive to provide more certainty towards the Forward Showing Metrics before prioritizing changes to the load forecast metrics. Forward Showing Metrics and Monthly PRMs have dramatically varied with every new calculation. Change request #2 “Earlier FS Metrics/ Monthly PRM Volatility” addresses the current Forward Showing uncertainty regarding PRM volatility and metric timing and provides participants with more confidence when planning for future seasons. Therefore, NV Energy recommends that change request #2 be moved into the schedule for 2025.</w:t>
      </w:r>
    </w:p>
    <w:p w14:paraId="663592ED" w14:textId="3DE19127" w:rsidR="00404CE9" w:rsidRDefault="00404CE9">
      <w:r>
        <w:br w:type="page"/>
      </w:r>
    </w:p>
    <w:p w14:paraId="118A53FF" w14:textId="2DBA72F1" w:rsidR="00777298" w:rsidRDefault="00404CE9" w:rsidP="0080569A">
      <w:pPr>
        <w:pStyle w:val="Heading2"/>
      </w:pPr>
      <w:bookmarkStart w:id="104" w:name="_Toc202176550"/>
      <w:r>
        <w:lastRenderedPageBreak/>
        <w:t>TEA</w:t>
      </w:r>
      <w:r w:rsidR="00AF5E2B">
        <w:t xml:space="preserve"> (Ed Mount - </w:t>
      </w:r>
      <w:r w:rsidR="00F769A6" w:rsidRPr="00F769A6">
        <w:t>emount@teainc.org</w:t>
      </w:r>
      <w:r w:rsidR="00F769A6">
        <w:t>)</w:t>
      </w:r>
      <w:bookmarkEnd w:id="104"/>
    </w:p>
    <w:p w14:paraId="4F8AB434" w14:textId="77777777" w:rsidR="0080569A" w:rsidRPr="0080569A" w:rsidRDefault="0080569A" w:rsidP="0080569A">
      <w:pPr>
        <w:ind w:left="720" w:hanging="720"/>
      </w:pPr>
      <w:r w:rsidRPr="0080569A">
        <w:rPr>
          <w:b/>
          <w:bCs/>
        </w:rPr>
        <w:t>01. Please supply any comments on the draft Task Force Schedule found in Figure 3</w:t>
      </w:r>
    </w:p>
    <w:p w14:paraId="173011CC" w14:textId="78E0AEF8" w:rsidR="0080569A" w:rsidRPr="0080569A" w:rsidRDefault="0080569A" w:rsidP="0080569A">
      <w:r w:rsidRPr="0080569A">
        <w:t>TEA is in favor of re-prioritizing CONCEPT 02 – EARLIER FS METRICS / MONTHLY</w:t>
      </w:r>
      <w:r>
        <w:t xml:space="preserve"> </w:t>
      </w:r>
      <w:r w:rsidRPr="0080569A">
        <w:t>VOLATILITY (PRM) from the 2026 Task Force workstream to the to 2025 Task Force workstream. To accommodate this re-prioritization, TEA would be in favor of moving CONCEPT 05 – LOAD GROWTH FACTOR to the 2026 Task Force workstream. Alternatively, depending on the expected go-live of SPP’s Markets+ day-ahead market (M+), work on CONCEPT 01 – DAM OPTIMIZATION as it specifically relates to M+ could potentially be pushed out to the 2026 workstream. TEA’s main driver for this re-prioritization is that the monthly PRM volatility that currently exists in the non-binding program is making it difficult to secure sufficient qualifying capacity to meet program requirements, particularly for shoulder months. Ensuring that TEA is resource adequate is the top concern for TEA and its participating utilities when it comes to participation in the binding program.</w:t>
      </w:r>
    </w:p>
    <w:p w14:paraId="41EB96CD" w14:textId="77777777" w:rsidR="0080569A" w:rsidRPr="0080569A" w:rsidRDefault="0080569A" w:rsidP="0080569A">
      <w:pPr>
        <w:ind w:left="720" w:hanging="720"/>
      </w:pPr>
      <w:r w:rsidRPr="0080569A">
        <w:rPr>
          <w:b/>
          <w:bCs/>
        </w:rPr>
        <w:t>09. Please supply any comments on Appendix A - Change Request Form Compilation</w:t>
      </w:r>
    </w:p>
    <w:p w14:paraId="06050A9F" w14:textId="3675A87A" w:rsidR="0080569A" w:rsidRPr="0080569A" w:rsidRDefault="0080569A" w:rsidP="0080569A">
      <w:r w:rsidRPr="0080569A">
        <w:t>With respect to 2024-CRF-017 / IPC / Monthly PRM Volatility, TEA agrees with the issue</w:t>
      </w:r>
      <w:r>
        <w:t xml:space="preserve"> </w:t>
      </w:r>
      <w:r w:rsidRPr="0080569A">
        <w:t>description provided by Idaho Power Company. TEA is similarly concerned that the monthly PRMs calculated during this current non-binding phase of the program have exhibited some concerning volatility month-to-month. As with Idaho Power, participating utilities in the TEA LRE have also seen some shoulder season months where the P50 load + monthly PRM significantly exceeds the utility’s own extreme weather load forecasts as well as its own long-term planning load forecasts. TEA also supports the desire for participants to receive forward showing metrics on an earlier timeline as described in change request 2024-CRF-002 / NVE / Earlier Forward Showing Metrics.</w:t>
      </w:r>
    </w:p>
    <w:p w14:paraId="17BBDDD1" w14:textId="77777777" w:rsidR="0080569A" w:rsidRPr="0080569A" w:rsidRDefault="0080569A" w:rsidP="0080569A">
      <w:pPr>
        <w:ind w:left="720" w:hanging="720"/>
      </w:pPr>
      <w:r w:rsidRPr="0080569A">
        <w:rPr>
          <w:b/>
          <w:bCs/>
        </w:rPr>
        <w:t>General Comment</w:t>
      </w:r>
    </w:p>
    <w:p w14:paraId="33934236" w14:textId="7A3C95EA" w:rsidR="0080569A" w:rsidRDefault="0080569A" w:rsidP="0080569A">
      <w:r w:rsidRPr="0080569A">
        <w:t xml:space="preserve">The Energy Authority, Inc. (TEA) is a public power-owned, not-for-profit </w:t>
      </w:r>
      <w:r>
        <w:t xml:space="preserve">corporation </w:t>
      </w:r>
      <w:r w:rsidRPr="0080569A">
        <w:t>providing utilities with energy scheduling, marketing, and power supply portfolio management services. TEA is currently participating in WRAP as a Load Responsible Entity (LRE) for five Northwest public power utilities in the states of Washington and Oregon (Clark Public Utilities, Cowlitz Public Utility District, Emerald People’s Utility District, Franklin Public Utility District, and Lewis Public Utility District).</w:t>
      </w:r>
    </w:p>
    <w:p w14:paraId="01501BA9" w14:textId="77777777" w:rsidR="0080569A" w:rsidRDefault="0080569A">
      <w:r>
        <w:br w:type="page"/>
      </w:r>
    </w:p>
    <w:p w14:paraId="382B8FE8" w14:textId="1158380A" w:rsidR="00404CE9" w:rsidRDefault="004E319A" w:rsidP="00D147B3">
      <w:pPr>
        <w:pStyle w:val="Heading2"/>
      </w:pPr>
      <w:bookmarkStart w:id="105" w:name="_Toc202176551"/>
      <w:r>
        <w:lastRenderedPageBreak/>
        <w:t>SCL</w:t>
      </w:r>
      <w:r w:rsidR="00F769A6">
        <w:t xml:space="preserve"> (Mara Kontos</w:t>
      </w:r>
      <w:r w:rsidR="00705766">
        <w:t xml:space="preserve"> - </w:t>
      </w:r>
      <w:r w:rsidR="00705766" w:rsidRPr="00705766">
        <w:t>mara.kontos@seattle.gov</w:t>
      </w:r>
      <w:r w:rsidR="00705766">
        <w:t>)</w:t>
      </w:r>
      <w:bookmarkEnd w:id="105"/>
    </w:p>
    <w:p w14:paraId="1238DC39" w14:textId="77777777" w:rsidR="004B5234" w:rsidRPr="004B5234" w:rsidRDefault="004B5234" w:rsidP="004B5234">
      <w:r w:rsidRPr="004B5234">
        <w:rPr>
          <w:b/>
          <w:bCs/>
        </w:rPr>
        <w:t>01. Please supply any comments on the draft Task Force Schedule found in Figure 3</w:t>
      </w:r>
    </w:p>
    <w:p w14:paraId="2A653A5E" w14:textId="77777777" w:rsidR="004B5234" w:rsidRPr="004B5234" w:rsidRDefault="004B5234" w:rsidP="004B5234">
      <w:r w:rsidRPr="004B5234">
        <w:t>Seattle appreciates the opportunity to comment on the Draft PRC Workplan, Task Force Schedule found in Figure 3 – Level of Effort Review Draft Task Force Schedule and understands that there needed to be a balance of staff's time between, the PA (WPP), PO (SPP), plus participant involvement in each concept's timeline. Although these were ranked using an online tool, Seattle feels like the DAM Optimization/SWEDE TX Limits, should be moved out of the 2025 schedule and replaced with number 24 Flat load and PRMs and/or number 02 Earlier FS Metrics/ Monthly volatility. Optimization in the DAM market is an indirect variable of the WRAP program where Flat Load and PRMs and Earlier FS Metrics/ Monthly PRM Volatility are directly related to how the WRAP program operates and functions and WRAP should prioritize issues that deal first with WRAP directly like the PRMs, FS metrics, and so on vs DAM optimization work as this may not pertain to all participants. Resource adequacy and reliability are two focus areas for WRAP, not DA optimization.</w:t>
      </w:r>
    </w:p>
    <w:p w14:paraId="087D02D1" w14:textId="77777777" w:rsidR="004B5234" w:rsidRPr="004B5234" w:rsidRDefault="004B5234" w:rsidP="004B5234">
      <w:r w:rsidRPr="004B5234">
        <w:rPr>
          <w:b/>
          <w:bCs/>
        </w:rPr>
        <w:t>02. Please supply any comments on Concepts that could impact a commitment to go Binding or remaining in the WRAP</w:t>
      </w:r>
    </w:p>
    <w:p w14:paraId="3EE1B729" w14:textId="77777777" w:rsidR="004B5234" w:rsidRPr="004B5234" w:rsidRDefault="004B5234" w:rsidP="004B5234">
      <w:r w:rsidRPr="004B5234">
        <w:t>Prioritizing issues that are indirectly related to the WRAP program could impact participants binding commitments, non-participants from joining, and cause participants to flee WRAP, if WRAP places a lot of emphasis on external Day Ahead market integration/optimization, before we have the WRAP program ironed out and up and running.</w:t>
      </w:r>
    </w:p>
    <w:p w14:paraId="1938FA63" w14:textId="77777777" w:rsidR="004B5234" w:rsidRPr="004B5234" w:rsidRDefault="004B5234" w:rsidP="004B5234">
      <w:r w:rsidRPr="004B5234">
        <w:rPr>
          <w:b/>
          <w:bCs/>
        </w:rPr>
        <w:t>04. Please supply any comments on Section 1. Background</w:t>
      </w:r>
    </w:p>
    <w:p w14:paraId="39EA5812" w14:textId="77777777" w:rsidR="004B5234" w:rsidRPr="004B5234" w:rsidRDefault="004B5234" w:rsidP="004B5234">
      <w:r w:rsidRPr="004B5234">
        <w:t>Seattle wishes the Concepts and Change Request Forms (CRFs) were shared with in person participants before the prioritization exercise began to better understand and weigh in on the grouping/narrowing down of the Concepts during the exercise. It would have been nice to hear from each participant that submitted a Concept, to better understand the participants asking and be able to ask questions of the participants.</w:t>
      </w:r>
    </w:p>
    <w:p w14:paraId="6E41758A" w14:textId="77777777" w:rsidR="004B5234" w:rsidRPr="004B5234" w:rsidRDefault="004B5234" w:rsidP="004B5234">
      <w:r w:rsidRPr="004B5234">
        <w:rPr>
          <w:b/>
          <w:bCs/>
        </w:rPr>
        <w:t>05. Please supply any comments on Section 2. PRC Prioritization Exercise</w:t>
      </w:r>
    </w:p>
    <w:p w14:paraId="60472884" w14:textId="77777777" w:rsidR="004B5234" w:rsidRPr="004B5234" w:rsidRDefault="004B5234" w:rsidP="004B5234">
      <w:r w:rsidRPr="004B5234">
        <w:t xml:space="preserve">Seattle is curious if there will be a call out to current participants to help with moving the Concepts along in a timelier manner. The draft work plan looks to go into potential binding </w:t>
      </w:r>
      <w:proofErr w:type="gramStart"/>
      <w:r w:rsidRPr="004B5234">
        <w:t>seasons,</w:t>
      </w:r>
      <w:proofErr w:type="gramEnd"/>
      <w:r w:rsidRPr="004B5234">
        <w:t xml:space="preserve"> it would be good to expedite these Concepts and proposals before any binding season happens. Would having additional participants contribute to this effort make it go faster?</w:t>
      </w:r>
    </w:p>
    <w:p w14:paraId="24EA33AF" w14:textId="77777777" w:rsidR="004B5234" w:rsidRPr="004B5234" w:rsidRDefault="004B5234" w:rsidP="004B5234">
      <w:r w:rsidRPr="004B5234">
        <w:rPr>
          <w:b/>
          <w:bCs/>
        </w:rPr>
        <w:lastRenderedPageBreak/>
        <w:t>06. Please supply any comments on Section 3. Detailed Level of Effort Review</w:t>
      </w:r>
    </w:p>
    <w:p w14:paraId="47CD9159" w14:textId="77777777" w:rsidR="004B5234" w:rsidRPr="004B5234" w:rsidRDefault="004B5234" w:rsidP="004B5234">
      <w:r w:rsidRPr="004B5234">
        <w:t>Seattle would like to see the PRC and WPP prioritize the concepts that directly relate to the WRAP program first before prioritizing external market integration concepts that are not applicable to everyone in the WRAP program.</w:t>
      </w:r>
    </w:p>
    <w:p w14:paraId="79D02174" w14:textId="77777777" w:rsidR="004B5234" w:rsidRPr="004B5234" w:rsidRDefault="004B5234" w:rsidP="004B5234">
      <w:r w:rsidRPr="004B5234">
        <w:rPr>
          <w:b/>
          <w:bCs/>
        </w:rPr>
        <w:t>09. Please supply any comments on Appendix A - Change Request Form Compilation</w:t>
      </w:r>
    </w:p>
    <w:p w14:paraId="034E28D6" w14:textId="642D4F68" w:rsidR="009F5957" w:rsidRDefault="004B5234" w:rsidP="0080569A">
      <w:r w:rsidRPr="004B5234">
        <w:t>Seattle would like to see a check box on the CRF to identify if the Concept being brought up directly relates to the WRAP program and all its participants or if it is an indirect Concept that indirectly ties the WRAP program to other potential markets or products, like CAISO EDAM or SPP Markets +. Seattle believes that this delineation will help the PRC better prioritize the Concepts, prioritizing WRAP issues first.</w:t>
      </w:r>
    </w:p>
    <w:p w14:paraId="394C4457" w14:textId="77777777" w:rsidR="009F5957" w:rsidRDefault="009F5957">
      <w:r>
        <w:br w:type="page"/>
      </w:r>
    </w:p>
    <w:p w14:paraId="7E6AD9AA" w14:textId="4757FB5C" w:rsidR="004E319A" w:rsidRDefault="009F5957" w:rsidP="00705766">
      <w:pPr>
        <w:pStyle w:val="Heading2"/>
      </w:pPr>
      <w:bookmarkStart w:id="106" w:name="_Toc202176552"/>
      <w:r>
        <w:lastRenderedPageBreak/>
        <w:t>PSE</w:t>
      </w:r>
      <w:r w:rsidR="00F119A7">
        <w:t xml:space="preserve"> (Sachi Begur - </w:t>
      </w:r>
      <w:r w:rsidR="00F119A7" w:rsidRPr="00F119A7">
        <w:t>sachi.begur@pse.com</w:t>
      </w:r>
      <w:r w:rsidR="00F119A7">
        <w:t>)</w:t>
      </w:r>
      <w:bookmarkEnd w:id="106"/>
    </w:p>
    <w:p w14:paraId="16B832F3" w14:textId="77777777" w:rsidR="008E3600" w:rsidRPr="008E3600" w:rsidRDefault="008E3600" w:rsidP="008E3600">
      <w:r w:rsidRPr="008E3600">
        <w:rPr>
          <w:b/>
          <w:bCs/>
        </w:rPr>
        <w:t>1. Please supply any comments on the draft Task Force Schedule found in Figure 3</w:t>
      </w:r>
    </w:p>
    <w:p w14:paraId="33875012" w14:textId="77777777" w:rsidR="008E3600" w:rsidRPr="008E3600" w:rsidRDefault="008E3600" w:rsidP="008E3600">
      <w:r w:rsidRPr="008E3600">
        <w:t>PSE recommends establishing an arbitration process or dedicated task force to efficiently resolve matters like those outlined in 2024-CRF-014 regarding the Flexibility of Jointly-owned Resources. Rather than requiring a lengthy multi-year review cycle, many of these issues could be addressed through a streamlined process where a specialized task force reviews the matter and recommends appropriate documentation updates. This approach would not only expedite resolution of such issues but would also help manage the workplan more effectively by allowing more urgent matters to be prioritized for active consideration.</w:t>
      </w:r>
    </w:p>
    <w:p w14:paraId="69179A6E" w14:textId="77777777" w:rsidR="008E3600" w:rsidRPr="008E3600" w:rsidRDefault="008E3600" w:rsidP="008E3600">
      <w:r w:rsidRPr="008E3600">
        <w:rPr>
          <w:b/>
          <w:bCs/>
        </w:rPr>
        <w:t>02. Please supply any comments on Concepts that could impact a commitment to go Binding or remaining in the WRAP</w:t>
      </w:r>
    </w:p>
    <w:p w14:paraId="498C4A46" w14:textId="77777777" w:rsidR="008E3600" w:rsidRPr="008E3600" w:rsidRDefault="008E3600" w:rsidP="008E3600">
      <w:r w:rsidRPr="008E3600">
        <w:t xml:space="preserve">PSE proposes consolidating the task force items currently listed under 2024-CRF-002, 2024-CRF-005, and 2024-CRF-24 into a single comprehensive long-term workplan item, given their closely interrelated nature. This consolidation would allow for a more coordinated and efficient approach to addressing these interconnected matters. We would like to take this opportunity to recognize the importance of developing a comprehensive regional load and resource forecasting practice to enhance long-term regional planning standards. </w:t>
      </w:r>
      <w:proofErr w:type="gramStart"/>
      <w:r w:rsidRPr="008E3600">
        <w:t>In order to</w:t>
      </w:r>
      <w:proofErr w:type="gramEnd"/>
      <w:r w:rsidRPr="008E3600">
        <w:t xml:space="preserve"> expedite and avoid delays in getting a binding program up and running, we recommend utilizing existing historical P50 calculations without load growth adjustments, particularly as these relate to seasonal planning just three months from the cure period deadline. We propose that a task force is </w:t>
      </w:r>
      <w:proofErr w:type="gramStart"/>
      <w:r w:rsidRPr="008E3600">
        <w:t>setup</w:t>
      </w:r>
      <w:proofErr w:type="gramEnd"/>
      <w:r w:rsidRPr="008E3600">
        <w:t xml:space="preserve"> for accomplishing the long-term load and resource forecasting objectives and standards. Therefore, we recommend reclassifying these CRF items to the "Long" Time Score category. This would allow prioritizing more urgent items that directly impact compliance for the upcoming binding season, rather than focusing on longer-term planning elements at this time.</w:t>
      </w:r>
    </w:p>
    <w:p w14:paraId="287C7993" w14:textId="77777777" w:rsidR="008E3600" w:rsidRPr="008E3600" w:rsidRDefault="008E3600" w:rsidP="008E3600">
      <w:r w:rsidRPr="008E3600">
        <w:rPr>
          <w:b/>
          <w:bCs/>
        </w:rPr>
        <w:t>05. Please supply any comments on Section 2. PRC Prioritization Exercise</w:t>
      </w:r>
    </w:p>
    <w:p w14:paraId="7D186219" w14:textId="07D1C814" w:rsidR="00517D67" w:rsidRDefault="008E3600" w:rsidP="0080569A">
      <w:r w:rsidRPr="008E3600">
        <w:t xml:space="preserve">PSE has comments specific to each of the CRF workplan items as follows: 2024-CRF-003, DR QCC PSE supports the development of enhanced Effective Load Carrying Capability (ELCC) calculations for Demand Response (DR) programs. Currently, participants engage in various Demand Response, Virtual Power Plant (VPP), and similar programs, making it challenging to determine WRAP eligibility. The establishment of clearer and more comprehensive guidelines would greatly assist participants in evaluating and qualifying their potential programs. 2024-CRF-004, Day Ahead Market Optimization of the Operations </w:t>
      </w:r>
      <w:r w:rsidRPr="008E3600">
        <w:lastRenderedPageBreak/>
        <w:t xml:space="preserve">Program Holdback PSE fully endorses the optimization of Western Resource Adequacy Program (WRAP) deployments through Day-Ahead (DA) and Real-Time (RT) market re-dispatch processes. 2024-CRF-010, Capability Testing Requirements for Seasonal Compliance We recommend that both the Tariff and Business Practice Manual (BPM) explicitly clarify the permissibility of using historical data for Operations and Capability testing requirements. It is important to recognize that thermal resources in the Pacific Northwest region typically demonstrate higher capability during winter months compared to summer due to ambient temperature variations. We strongly advocate that capability testing should be based on demonstrated data and established standards, rather than relying on isolated in-person inspections conducted at arbitrary times throughout the year. If these changes primarily involve BPM or Tariff modifications, we suggest this item could be reclassified </w:t>
      </w:r>
      <w:proofErr w:type="gramStart"/>
      <w:r w:rsidRPr="008E3600">
        <w:t>to</w:t>
      </w:r>
      <w:proofErr w:type="gramEnd"/>
      <w:r w:rsidRPr="008E3600">
        <w:t xml:space="preserve"> the "Short" time category. 2024-CRF-008, CAISO High-Priority Wheeling Through in WRAP We support efforts to resolve ambiguities and to clearly identify acceptable transmission categories for both WRAP forward showing and operational requirements. Specifically, we advocate for explicit clarification regarding </w:t>
      </w:r>
      <w:proofErr w:type="spellStart"/>
      <w:r w:rsidRPr="008E3600">
        <w:t>all wheel</w:t>
      </w:r>
      <w:proofErr w:type="spellEnd"/>
      <w:r w:rsidRPr="008E3600">
        <w:t>-through and wheel-out transmission and products, including the California Independent System Operator (CAISO) High-Priority Wheel-through transmission and generation Wheel-out e-tags such as the CAISO Generation-Firm Provisional (GF-P).</w:t>
      </w:r>
    </w:p>
    <w:p w14:paraId="15F55161" w14:textId="77777777" w:rsidR="00517D67" w:rsidRDefault="00517D67">
      <w:r>
        <w:br w:type="page"/>
      </w:r>
    </w:p>
    <w:p w14:paraId="3E3EBC7C" w14:textId="19DD90B4" w:rsidR="009F5957" w:rsidRDefault="00517D67" w:rsidP="002D496D">
      <w:pPr>
        <w:pStyle w:val="Heading2"/>
      </w:pPr>
      <w:bookmarkStart w:id="107" w:name="_Toc202176553"/>
      <w:r>
        <w:lastRenderedPageBreak/>
        <w:t>PWX</w:t>
      </w:r>
      <w:r w:rsidR="00A67D34">
        <w:t xml:space="preserve"> (Raj Hundal - </w:t>
      </w:r>
      <w:r w:rsidR="00A67D34" w:rsidRPr="002D496D">
        <w:t>raj.hundal@powerex.com</w:t>
      </w:r>
      <w:r w:rsidR="00A67D34">
        <w:t>)</w:t>
      </w:r>
      <w:bookmarkEnd w:id="107"/>
    </w:p>
    <w:p w14:paraId="74CA0D4E" w14:textId="77777777" w:rsidR="002D496D" w:rsidRPr="002D496D" w:rsidRDefault="002D496D" w:rsidP="002D496D">
      <w:r w:rsidRPr="002D496D">
        <w:rPr>
          <w:b/>
          <w:bCs/>
        </w:rPr>
        <w:t>01. Please supply any comments on the draft Task Force Schedule found in Figure 3</w:t>
      </w:r>
    </w:p>
    <w:p w14:paraId="066D62A6" w14:textId="77777777" w:rsidR="002D496D" w:rsidRPr="002D496D" w:rsidRDefault="002D496D" w:rsidP="002D496D">
      <w:r w:rsidRPr="002D496D">
        <w:t>As WRAP Participants gain more experience from multiple non-binding seasons, it has become clear that the volatile nature of the monthly Planning Reserve Margins has created challenges for entities to anticipate the program requirements for the purposes of their resource plans. Further, many (if not most) Participants need to begin their resource planning processes before the PRMs for the planning period have been finalized. As such, Powerex would recommend that the PRC consider swapping topic 02: Earlier FS Metric/Monthly Volatility, and topic 05: Load Growth Factor, such that Topic 02: Earlier FS Metrics can be addressed earlier in the work schedule. We would note that we still see the Load Growth Factor as an important topic. However, based on conversations with other participants, it seems that looking into the stabilization of the PRMs merits being moved ahead in the work plan.</w:t>
      </w:r>
    </w:p>
    <w:p w14:paraId="1EB1C3CA" w14:textId="77777777" w:rsidR="002D496D" w:rsidRPr="002D496D" w:rsidRDefault="002D496D" w:rsidP="002D496D">
      <w:r w:rsidRPr="002D496D">
        <w:rPr>
          <w:b/>
          <w:bCs/>
        </w:rPr>
        <w:t>06. Please supply any comments on Section 3. Detailed Level of Effort Review</w:t>
      </w:r>
    </w:p>
    <w:p w14:paraId="24B0DC99" w14:textId="77777777" w:rsidR="002D496D" w:rsidRPr="002D496D" w:rsidRDefault="002D496D" w:rsidP="002D496D">
      <w:r w:rsidRPr="002D496D">
        <w:t xml:space="preserve">Powerex participated in the PRC prioritization discussion and very much </w:t>
      </w:r>
      <w:proofErr w:type="gramStart"/>
      <w:r w:rsidRPr="002D496D">
        <w:t>appreciates</w:t>
      </w:r>
      <w:proofErr w:type="gramEnd"/>
      <w:r w:rsidRPr="002D496D">
        <w:t xml:space="preserve"> the efforts by WPP to conduct the review and develop the work plan.</w:t>
      </w:r>
    </w:p>
    <w:p w14:paraId="300BA69C" w14:textId="77777777" w:rsidR="002D496D" w:rsidRPr="002D496D" w:rsidRDefault="002D496D" w:rsidP="002D496D">
      <w:r w:rsidRPr="002D496D">
        <w:rPr>
          <w:b/>
          <w:bCs/>
        </w:rPr>
        <w:t>07. Please supply any comments on Section 4. Proposed Schedule and Plan of Action</w:t>
      </w:r>
    </w:p>
    <w:p w14:paraId="35D4DA75" w14:textId="11E8DF7C" w:rsidR="00E5562A" w:rsidRDefault="002D496D" w:rsidP="0080569A">
      <w:r w:rsidRPr="002D496D">
        <w:t xml:space="preserve">With the recent progress being made in the two Day Ahead Market initiatives (EDAM and Markets+), it seems highly likely that the WPP and WRAP membership may soon have to focus significant effort on the integration of the WRAP program into the new market paradigms. The market designs will represent both a substantial change to the way trading and scheduling occur, as well as a potential opportunity to further improve upon the WRAP by availing the program </w:t>
      </w:r>
      <w:proofErr w:type="gramStart"/>
      <w:r w:rsidRPr="002D496D">
        <w:t>to</w:t>
      </w:r>
      <w:proofErr w:type="gramEnd"/>
      <w:r w:rsidRPr="002D496D">
        <w:t xml:space="preserve"> the dispatch and delivery optimization enhancements that the market designs will bring. As such, Powerex feels that the PRC has appropriately prioritized topic 01: DAM Optimization to begin this year, as progress on Topic 1 will provide Participants valuable details in the coming months. But further to that, given that the development of the specific market design details may come rapidly and soon, other PRC Workplan topics may be identified during this year that could require workstreams to be created and prioritized over those identified in the draft workplan schedule. With that in mind, Powerex would encourage the PRC to be ready to modify the proposed workplan, if required, to ensure that the focus of the WPP and the Participants can be put on the integration of the WRAP into the new market designs.</w:t>
      </w:r>
    </w:p>
    <w:p w14:paraId="2DD255CA" w14:textId="77777777" w:rsidR="00E5562A" w:rsidRDefault="00E5562A">
      <w:r>
        <w:br w:type="page"/>
      </w:r>
    </w:p>
    <w:p w14:paraId="1CE17F99" w14:textId="0BDCFC50" w:rsidR="00430704" w:rsidRDefault="00E5562A" w:rsidP="0060758C">
      <w:pPr>
        <w:pStyle w:val="Heading2"/>
      </w:pPr>
      <w:bookmarkStart w:id="108" w:name="_Toc202176554"/>
      <w:r>
        <w:lastRenderedPageBreak/>
        <w:t xml:space="preserve">IPC (Nicole Blackwell - </w:t>
      </w:r>
      <w:r w:rsidR="00A35748" w:rsidRPr="0060758C">
        <w:t>nblackwell@idahopower.com</w:t>
      </w:r>
      <w:r w:rsidR="00A35748">
        <w:t>)</w:t>
      </w:r>
      <w:bookmarkEnd w:id="108"/>
    </w:p>
    <w:p w14:paraId="3235EF6B" w14:textId="77777777" w:rsidR="0060758C" w:rsidRPr="0060758C" w:rsidRDefault="0060758C" w:rsidP="0060758C">
      <w:r w:rsidRPr="0060758C">
        <w:rPr>
          <w:b/>
          <w:bCs/>
        </w:rPr>
        <w:t>01. Please supply any comments on the draft Task Force Schedule found in Figure 3</w:t>
      </w:r>
    </w:p>
    <w:p w14:paraId="6981A084" w14:textId="18753163" w:rsidR="0060758C" w:rsidRDefault="0060758C" w:rsidP="0080569A">
      <w:r w:rsidRPr="0060758C">
        <w:t xml:space="preserve">Idaho Power supports prioritizing Concept 02, the NVE/IPC-sponsored concept on earlier FS metrics and monthly PRM volatility, such that it is addressed in 2025, rather than waiting until 2026. Idaho Power believes this is a high-priority need for resolution that, if not timely resolved, could create hurdles for program implementation. Idaho Power believes that Concept 02 should be prioritized above or at least equal to any of the concepts currently slated for 2025. In Idaho Power’s view, the highest priority should be placed on concepts that mitigate unnecessary hurdles to program implementation. The goal of Concept 02 is to do just that: introduce stability and consistency into program metrics, including PRMs, and mitigate the monthly volatility that can occur with the current monthly PRM calculations. Both these issues can have a significant impact on participants’ </w:t>
      </w:r>
      <w:proofErr w:type="gramStart"/>
      <w:r w:rsidRPr="0060758C">
        <w:t>forward showing</w:t>
      </w:r>
      <w:proofErr w:type="gramEnd"/>
      <w:r w:rsidRPr="0060758C">
        <w:t xml:space="preserve"> demonstrations and ability to comply. While the concepts slated for 2025 are important and could provide benefit, Idaho Power believes Concept 02 could significantly mitigate implementation hurdles and should be addressed this year.</w:t>
      </w:r>
    </w:p>
    <w:p w14:paraId="62F46C8B" w14:textId="77777777" w:rsidR="0060758C" w:rsidRDefault="0060758C">
      <w:r>
        <w:br w:type="page"/>
      </w:r>
    </w:p>
    <w:p w14:paraId="18CA002B" w14:textId="49FD3BAA" w:rsidR="00A35748" w:rsidRDefault="0060758C" w:rsidP="009D63C1">
      <w:pPr>
        <w:pStyle w:val="Heading2"/>
      </w:pPr>
      <w:bookmarkStart w:id="109" w:name="_Toc202176555"/>
      <w:r>
        <w:lastRenderedPageBreak/>
        <w:t xml:space="preserve">PGE </w:t>
      </w:r>
      <w:r w:rsidR="00A21EDB">
        <w:t xml:space="preserve">(Stefan Cristea - </w:t>
      </w:r>
      <w:hyperlink r:id="rId20" w:history="1">
        <w:r w:rsidR="00ED547A" w:rsidRPr="002549AC">
          <w:rPr>
            <w:rStyle w:val="Hyperlink"/>
          </w:rPr>
          <w:t>stefan.cristea@pgn.com</w:t>
        </w:r>
      </w:hyperlink>
      <w:r w:rsidR="00A21EDB">
        <w:t>)</w:t>
      </w:r>
      <w:bookmarkEnd w:id="109"/>
    </w:p>
    <w:p w14:paraId="4F1A92DE" w14:textId="77777777" w:rsidR="009D63C1" w:rsidRPr="009D63C1" w:rsidRDefault="009D63C1" w:rsidP="009D63C1">
      <w:r w:rsidRPr="009D63C1">
        <w:rPr>
          <w:b/>
          <w:bCs/>
        </w:rPr>
        <w:t>01. Please supply any comments on the draft Task Force Schedule found in Figure 3</w:t>
      </w:r>
    </w:p>
    <w:p w14:paraId="4981342D" w14:textId="77777777" w:rsidR="009D63C1" w:rsidRPr="009D63C1" w:rsidRDefault="009D63C1" w:rsidP="009D63C1">
      <w:r w:rsidRPr="009D63C1">
        <w:t xml:space="preserve">PGE supports all proposed changes and appreciates the opportunity to provide comments. While all proposed changes are important and PGE expects that they will enhance the program's design, PGE considers Concept 02 to be crucial to be implemented as soon as possible and proposes moving it up to the 2025 work plan. Additionally, PGE finds Concept 12 very important and believes it should be completed well before the first WRAP binding season to ensure the contribution of existing VERs is accurately reflected. Therefore, PGE would propose that Concept 12 is also moved up to 2025. To </w:t>
      </w:r>
      <w:proofErr w:type="gramStart"/>
      <w:r w:rsidRPr="009D63C1">
        <w:t>accommodate for</w:t>
      </w:r>
      <w:proofErr w:type="gramEnd"/>
      <w:r w:rsidRPr="009D63C1">
        <w:t xml:space="preserve"> these changes, PGE suggests switching Concepts 05 and 03 to the 2026 workplan. PGE also expresses its concerns regarding the impacts that emerging day-ahead markets, such as EDAM, scheduled to go live in 2026, will have on WRAP. Addressing these impacts in an accelerated manner is essential, as there may be inconsistencies between the setup of these markets and the design of WRAP that need to be resolved before </w:t>
      </w:r>
      <w:proofErr w:type="gramStart"/>
      <w:r w:rsidRPr="009D63C1">
        <w:t>the WRAP</w:t>
      </w:r>
      <w:proofErr w:type="gramEnd"/>
      <w:r w:rsidRPr="009D63C1">
        <w:t xml:space="preserve"> first binding season.</w:t>
      </w:r>
    </w:p>
    <w:p w14:paraId="7CBB80E7" w14:textId="77777777" w:rsidR="009D63C1" w:rsidRPr="009D63C1" w:rsidRDefault="009D63C1" w:rsidP="009D63C1">
      <w:r w:rsidRPr="009D63C1">
        <w:rPr>
          <w:b/>
          <w:bCs/>
        </w:rPr>
        <w:t>02. Please supply any comments on Concepts that could impact a commitment to go Binding or remaining in the WRAP</w:t>
      </w:r>
    </w:p>
    <w:p w14:paraId="404D26F6" w14:textId="77777777" w:rsidR="009D63C1" w:rsidRPr="009D63C1" w:rsidRDefault="009D63C1" w:rsidP="009D63C1">
      <w:r w:rsidRPr="009D63C1">
        <w:t xml:space="preserve">Consolidated Concept 02 (Earlier FS Metrics / Monthly Volatility): The draft PRC Workplan proposes a timeline for completing this concept by June 2026. This timeline addresses the issue after October 2025, the deadline for changing the first binding season, and does not provide sufficient assurance that the PRMs applied to Winter and Summer shoulder months (i.e., June, September, November, March) will be reasonable when the program becomes binding. Runaway PRMs of up to nearly 30% during WRAP shoulder months and the PRM volatility between Advance Assessments pose significant risks to PGE's ability to plan adequately and meet WRAP capacity requirements during those months. The monthly PRM volatility can also lead to financial exposure from either </w:t>
      </w:r>
      <w:proofErr w:type="gramStart"/>
      <w:r w:rsidRPr="009D63C1">
        <w:t>a WRAP</w:t>
      </w:r>
      <w:proofErr w:type="gramEnd"/>
      <w:r w:rsidRPr="009D63C1">
        <w:t xml:space="preserve"> deficiency charges, or term capacity contracts needed to cover oversized peak load forecasts during WRAP seasons shoulder months that we would not expect in operations. </w:t>
      </w:r>
      <w:proofErr w:type="gramStart"/>
      <w:r w:rsidRPr="009D63C1">
        <w:t>The PRM</w:t>
      </w:r>
      <w:proofErr w:type="gramEnd"/>
      <w:r w:rsidRPr="009D63C1">
        <w:t xml:space="preserve"> uncertainty is an important factor in PGE’s decision to maintain the first binding season as Winter 2027-2028. To resolve this issue, along with the consolidated Concept 15 – Planned Outage Clarification, the program could consider reducing the number of days or entirely removing the shoulder months (i.e., June and September, and November and March, respectively) from the Summer and Winter WRAP seasons. Consolidated Concept 12 (ELCC by Vintage, Indicative QCC for LTS): PGE strongly supports the proposed changes in this concept, emphasizing their critical importance for implementation before the first binding season. </w:t>
      </w:r>
      <w:proofErr w:type="gramStart"/>
      <w:r w:rsidRPr="009D63C1">
        <w:t>Similar to</w:t>
      </w:r>
      <w:proofErr w:type="gramEnd"/>
      <w:r w:rsidRPr="009D63C1">
        <w:t xml:space="preserve"> Concept 02, the draft PRC workplan aims to complete this change by June 2026. </w:t>
      </w:r>
      <w:r w:rsidRPr="009D63C1">
        <w:lastRenderedPageBreak/>
        <w:t>However, this timeline does not align with the decision to maintain the first binding season due in October 2025. PGE advocates for the design change to ensure that the capacity contribution of existing variable energy resources (VERs) remains unaffected by the penetration of other VERs. Instead, only the capacity contribution of new VERs should be impacted. The current WRAP design can lead to QCC variations for existing resources, potentially reducing participants' resource supply QCCs even if their portfolios remain unchanged. Consolidated Concept 01 (DAM Consolidation/SWEDE TX Limits): WRAP design needs to align with day-ahead market (DAM) requirements. Therefore, any DAM-related enhancements should be prioritized, and WRAP design should remain flexible to accommodate potential changes as day-ahead markets come online as early as 2026. Unresolved design inconsistencies between WRAP and day-ahead markets before the first binding season could impact PGE’s decision to participate. Consolidated Concept 15 (Planned Outage Clarification): Utilities typically schedule planned outages during months with lower expected loads, including WRAP shoulder months such as June, September, November, and March. The combination of these planned outages and the extremely high PRMs calculated for these months often results in a deficit position in the WRAP Forward Showing, leading to potential significant deficiency charges. PGE emphasizes the importance of resolving and implementing this proposed change well in advance of the first binding season FS submittal.</w:t>
      </w:r>
    </w:p>
    <w:p w14:paraId="4A36E7E9" w14:textId="77777777" w:rsidR="009D63C1" w:rsidRPr="009D63C1" w:rsidRDefault="009D63C1" w:rsidP="009D63C1">
      <w:r w:rsidRPr="009D63C1">
        <w:rPr>
          <w:b/>
          <w:bCs/>
        </w:rPr>
        <w:t>07. Please supply any comments on Section 4. Proposed Schedule and Plan of Action</w:t>
      </w:r>
    </w:p>
    <w:p w14:paraId="5CAF87DA" w14:textId="6917CB4D" w:rsidR="00343A43" w:rsidRDefault="009D63C1" w:rsidP="0080569A">
      <w:r w:rsidRPr="009D63C1">
        <w:t xml:space="preserve">PGE is proposing that Concepts 02 and 12 be moved up to the 2025 workplan. To </w:t>
      </w:r>
      <w:proofErr w:type="gramStart"/>
      <w:r w:rsidRPr="009D63C1">
        <w:t>accommodate for</w:t>
      </w:r>
      <w:proofErr w:type="gramEnd"/>
      <w:r w:rsidRPr="009D63C1">
        <w:t xml:space="preserve"> these changes, PGE suggests switching Concepts 05 and 03 to the 2026 workplan.</w:t>
      </w:r>
    </w:p>
    <w:p w14:paraId="50DF2A3B" w14:textId="77777777" w:rsidR="00343A43" w:rsidRDefault="00343A43">
      <w:r>
        <w:br w:type="page"/>
      </w:r>
    </w:p>
    <w:p w14:paraId="2C108E44" w14:textId="3CF51314" w:rsidR="004635CF" w:rsidRPr="004635CF" w:rsidRDefault="00343A43" w:rsidP="009C5226">
      <w:pPr>
        <w:pStyle w:val="Heading2"/>
      </w:pPr>
      <w:bookmarkStart w:id="110" w:name="_Toc202176556"/>
      <w:r>
        <w:lastRenderedPageBreak/>
        <w:t xml:space="preserve">SRP </w:t>
      </w:r>
      <w:r w:rsidR="009C5226">
        <w:t>(</w:t>
      </w:r>
      <w:r w:rsidR="004635CF" w:rsidRPr="004635CF">
        <w:t>Jerret Fischer</w:t>
      </w:r>
      <w:r w:rsidR="009C5226">
        <w:t xml:space="preserve"> - </w:t>
      </w:r>
      <w:r w:rsidR="009C5226" w:rsidRPr="009C5226">
        <w:t>jerret.fischer@srpnet.com</w:t>
      </w:r>
      <w:r w:rsidR="009C5226">
        <w:t>)</w:t>
      </w:r>
      <w:bookmarkEnd w:id="110"/>
    </w:p>
    <w:p w14:paraId="122E8C9D" w14:textId="77777777" w:rsidR="004635CF" w:rsidRPr="004635CF" w:rsidRDefault="004635CF" w:rsidP="004635CF">
      <w:r w:rsidRPr="004635CF">
        <w:rPr>
          <w:b/>
          <w:bCs/>
        </w:rPr>
        <w:t>01. Please supply any comments on the draft Task Force Schedule found in Figure 3</w:t>
      </w:r>
    </w:p>
    <w:p w14:paraId="1ED52892" w14:textId="77777777" w:rsidR="004635CF" w:rsidRPr="004635CF" w:rsidRDefault="004635CF" w:rsidP="004635CF">
      <w:proofErr w:type="gramStart"/>
      <w:r w:rsidRPr="004635CF">
        <w:t>Salt</w:t>
      </w:r>
      <w:proofErr w:type="gramEnd"/>
      <w:r w:rsidRPr="004635CF">
        <w:t xml:space="preserve"> River Project Agricultural Improvement and Power District (SRP) appreciates the clarity and structure of the Task Force schedule and the opportunity it provides to make meaningful progress on the identified concepts. SRP supports the flexibility built into the schedule and encourages the WPP to continue to monitor whether the pace of work aligns with the needs of WRAP participants as they prepare for binding participation. SRP also encourages early confirmation of Task Force participants to promote engagement and help participants plan accordingly.</w:t>
      </w:r>
    </w:p>
    <w:p w14:paraId="72823217" w14:textId="77777777" w:rsidR="004635CF" w:rsidRPr="004635CF" w:rsidRDefault="004635CF" w:rsidP="004635CF">
      <w:r w:rsidRPr="004635CF">
        <w:rPr>
          <w:b/>
          <w:bCs/>
        </w:rPr>
        <w:t>02. Please supply any comments on Concepts that could impact a commitment to go Binding or remaining in the WRAP</w:t>
      </w:r>
    </w:p>
    <w:p w14:paraId="07C8A062" w14:textId="77777777" w:rsidR="004635CF" w:rsidRPr="004635CF" w:rsidRDefault="004635CF" w:rsidP="004635CF">
      <w:r w:rsidRPr="004635CF">
        <w:t xml:space="preserve">SRP encourages the WPP to continue evaluating whether any concepts could affect </w:t>
      </w:r>
      <w:proofErr w:type="gramStart"/>
      <w:r w:rsidRPr="004635CF">
        <w:t>participants</w:t>
      </w:r>
      <w:proofErr w:type="gramEnd"/>
      <w:r w:rsidRPr="004635CF">
        <w:t xml:space="preserve"> ability or confidence to commit to binding participation. SRP appreciates the WPP’s willingness to remain open to accelerated or modified scheduling if needed to address unforeseen items that may require resolution(s). SRP recognizes comments from others that request prioritization of Concept 02. We believe that the PRC should strongly consider these requests and demonstrate flexibility and responsiveness to concerns as they emerge and become more urgent. SRP understands that some stakeholder comments request that this proposal be prioritized above Concept 05 (an item built from SRP request). SRP does not object to the PRC adjusting the prioritization in a way that resolves other concerns prior to Concept 05. In harmony with the results of the prioritization exercise in January, SRP advocates for Concept 05 to be included in this Workplan, as SRP believes that the consideration of this concept will be highly valuable in preserving WRAP integrity. SRP also recognizes comments discussing the prioritization of Concept 01, and SRP also sees value in maintaining this item as a priority, as resolution of several concerns may influence Participant comfort with Binding operations. While SRP has submitted Concepts that are included in the Workplan, SRP’s commitment </w:t>
      </w:r>
      <w:proofErr w:type="gramStart"/>
      <w:r w:rsidRPr="004635CF">
        <w:t>to go</w:t>
      </w:r>
      <w:proofErr w:type="gramEnd"/>
      <w:r w:rsidRPr="004635CF">
        <w:t xml:space="preserve"> Binding and continued participation in WRAP are not contingent on implementation of proposed changes.</w:t>
      </w:r>
    </w:p>
    <w:p w14:paraId="36BD852D" w14:textId="77777777" w:rsidR="004635CF" w:rsidRPr="004635CF" w:rsidRDefault="004635CF" w:rsidP="004635CF">
      <w:r w:rsidRPr="004635CF">
        <w:rPr>
          <w:b/>
          <w:bCs/>
        </w:rPr>
        <w:t>03. Please supply any comments on the Executive Summary</w:t>
      </w:r>
    </w:p>
    <w:p w14:paraId="1FAAE452" w14:textId="77777777" w:rsidR="004635CF" w:rsidRPr="004635CF" w:rsidRDefault="004635CF" w:rsidP="004635CF">
      <w:r w:rsidRPr="004635CF">
        <w:t>SRP appreciates the executive summary. SRP recommends including a brief reference that the prioritization of the concepts in the Workplan reflects stakeholder input and supports the continued development of WRAP.</w:t>
      </w:r>
    </w:p>
    <w:p w14:paraId="7A05D083" w14:textId="77777777" w:rsidR="004635CF" w:rsidRPr="004635CF" w:rsidRDefault="004635CF" w:rsidP="004635CF">
      <w:r w:rsidRPr="004635CF">
        <w:rPr>
          <w:b/>
          <w:bCs/>
        </w:rPr>
        <w:t>04. Please supply any comments on Section 1. Background</w:t>
      </w:r>
    </w:p>
    <w:p w14:paraId="4C1D30AB" w14:textId="77777777" w:rsidR="004635CF" w:rsidRPr="004635CF" w:rsidRDefault="004635CF" w:rsidP="004635CF">
      <w:r w:rsidRPr="004635CF">
        <w:lastRenderedPageBreak/>
        <w:t>SRP supports the explanation of the Change Request Form/Concept and Workplan development process.</w:t>
      </w:r>
    </w:p>
    <w:p w14:paraId="7E7E1985" w14:textId="77777777" w:rsidR="004635CF" w:rsidRPr="004635CF" w:rsidRDefault="004635CF" w:rsidP="004635CF">
      <w:r w:rsidRPr="004635CF">
        <w:rPr>
          <w:b/>
          <w:bCs/>
        </w:rPr>
        <w:t>06. Please supply any comments on Section 3. Detailed Level of Effort Review</w:t>
      </w:r>
    </w:p>
    <w:p w14:paraId="46A603E5" w14:textId="77777777" w:rsidR="004635CF" w:rsidRPr="004635CF" w:rsidRDefault="004635CF" w:rsidP="004635CF">
      <w:r w:rsidRPr="004635CF">
        <w:t>SRP appreciates the effort applied in the level of effort review. SRP recommends the WPP monitor the workload and staffing constraints for participants involved in multiple concepts.</w:t>
      </w:r>
    </w:p>
    <w:p w14:paraId="69F03657" w14:textId="77777777" w:rsidR="004635CF" w:rsidRPr="004635CF" w:rsidRDefault="004635CF" w:rsidP="004635CF">
      <w:r w:rsidRPr="004635CF">
        <w:rPr>
          <w:b/>
          <w:bCs/>
        </w:rPr>
        <w:t>07. Please supply any comments on Section 4. Proposed Schedule and Plan of Action</w:t>
      </w:r>
    </w:p>
    <w:p w14:paraId="3F6192C1" w14:textId="77777777" w:rsidR="004635CF" w:rsidRPr="004635CF" w:rsidRDefault="004635CF" w:rsidP="004635CF">
      <w:r w:rsidRPr="004635CF">
        <w:t>SRP supports the inclusion of flexibility in the proposed schedule. SRP recommends the WPP ensure task forces leverage the monthly reporting mentioned in BPM 302 Section 3.2, to identify any risks, delays, and/or support needs. This may help the WPP and Program Review Committee maintain visibility of task force efforts.</w:t>
      </w:r>
    </w:p>
    <w:p w14:paraId="1D47C637" w14:textId="77777777" w:rsidR="004635CF" w:rsidRPr="004635CF" w:rsidRDefault="004635CF" w:rsidP="004635CF">
      <w:r w:rsidRPr="004635CF">
        <w:rPr>
          <w:b/>
          <w:bCs/>
        </w:rPr>
        <w:t>08. Please supply any comments on Section 6. Next Steps</w:t>
      </w:r>
    </w:p>
    <w:p w14:paraId="658BE61F" w14:textId="77777777" w:rsidR="004635CF" w:rsidRPr="004635CF" w:rsidRDefault="004635CF" w:rsidP="004635CF">
      <w:r w:rsidRPr="004635CF">
        <w:t xml:space="preserve">SRP supports the proposed next steps and appreciates the WPP’s clear communication throughout the Workplan process. SRP encourages prompt communication of task force kickoff dates, which will support </w:t>
      </w:r>
      <w:proofErr w:type="gramStart"/>
      <w:r w:rsidRPr="004635CF">
        <w:t>participants</w:t>
      </w:r>
      <w:proofErr w:type="gramEnd"/>
      <w:r w:rsidRPr="004635CF">
        <w:t xml:space="preserve"> readiness and organization of internal resources.</w:t>
      </w:r>
    </w:p>
    <w:p w14:paraId="0648FF1F" w14:textId="77777777" w:rsidR="004635CF" w:rsidRPr="004635CF" w:rsidRDefault="004635CF" w:rsidP="004635CF">
      <w:r w:rsidRPr="004635CF">
        <w:rPr>
          <w:b/>
          <w:bCs/>
        </w:rPr>
        <w:t>General Comment</w:t>
      </w:r>
    </w:p>
    <w:p w14:paraId="7564D324" w14:textId="2CDB655D" w:rsidR="007B3F3E" w:rsidRDefault="004635CF" w:rsidP="0080569A">
      <w:r w:rsidRPr="004635CF">
        <w:t>SRP appreciates the WPP’s ongoing efforts to develop the WRAP through a structured and collaborative process. SRP supports the current prioritization of the concepts and values the transparency and flexibility built into the 2025 Workplan, but SRP would also support reprioritization to incorporate the collective interests of WRAP participants. SRP looks forward to actively participating in the upcoming task forces and contributing to the continued development of the WRAP.</w:t>
      </w:r>
    </w:p>
    <w:p w14:paraId="77CC7DD8" w14:textId="77777777" w:rsidR="007B3F3E" w:rsidRDefault="007B3F3E">
      <w:r>
        <w:br w:type="page"/>
      </w:r>
    </w:p>
    <w:p w14:paraId="4CCB4323" w14:textId="19841842" w:rsidR="007B3F3E" w:rsidRDefault="007B3F3E" w:rsidP="00CA029A">
      <w:pPr>
        <w:pStyle w:val="Heading2"/>
      </w:pPr>
      <w:bookmarkStart w:id="111" w:name="_Toc202176557"/>
      <w:r>
        <w:lastRenderedPageBreak/>
        <w:t>BPA</w:t>
      </w:r>
      <w:r w:rsidR="00703652">
        <w:t xml:space="preserve"> (Matt Hayes –</w:t>
      </w:r>
      <w:r w:rsidR="00CA029A">
        <w:t xml:space="preserve"> </w:t>
      </w:r>
      <w:r w:rsidR="00CA029A" w:rsidRPr="00CA029A">
        <w:t>mchayes@bpa.gov</w:t>
      </w:r>
      <w:r w:rsidR="00CA029A">
        <w:t>)</w:t>
      </w:r>
      <w:bookmarkEnd w:id="111"/>
      <w:r w:rsidR="00703652">
        <w:t xml:space="preserve"> </w:t>
      </w:r>
    </w:p>
    <w:p w14:paraId="0AAB951C" w14:textId="77777777" w:rsidR="00703652" w:rsidRPr="00703652" w:rsidRDefault="00703652" w:rsidP="00703652">
      <w:r w:rsidRPr="00703652">
        <w:rPr>
          <w:b/>
          <w:bCs/>
        </w:rPr>
        <w:t>01. Please supply any comments on the draft Task Force Schedule found in Figure 3</w:t>
      </w:r>
    </w:p>
    <w:p w14:paraId="738402C0" w14:textId="77777777" w:rsidR="00703652" w:rsidRPr="00703652" w:rsidRDefault="00703652" w:rsidP="00703652">
      <w:r w:rsidRPr="00703652">
        <w:t xml:space="preserve">The Draft Task Force Schedule identified in figure 3 was created by the PRC as a prioritization of concepts submitted through Change Request Forms in December 2024. Bonneville appreciates the Western Power Pool’s leadership in this process and has participated in and continues to support WRAP in general and this PRC prioritization process specifically. Bonneville also recognizes that the industry is in a period of significant change with the ongoing development of Day Ahead Markets (DAM). Both priorities and concepts addressed by WRAP will at times need to be adjusted accordingly. Bonneville proposes the program should work toward providing as much certainty as possible by October of this year on how the program will interact with organized markets and operate in binding seasons. Bonneville encourages the PRC to be flexible enough to adjust the annual plan as issues become priorities or new issues overtake those that have been identified and prioritized in the plan. Since this workplan was approved, the timeline associated with certain EDAM participants has become clear for a start in 2026. In addition, Bonneville’s scoping of future market implementation with the very real possibility that portions of our generation and load will be in different markets has revealed it is imperative to make sure WRAP integrates well with DAMs (regardless of which market a WRAP participant plans to join). WRAP must provide clarity of how its participants meet program compliance requirements (holdback and energy deployments) when load and generation are in different markets. This will require adjustments to the WRAP program. Bonneville believes the PRC work plan identifies many of the known issues and appropriately prioritizes them. We want to highlight the importance of Concept 01 that directly takes on some of the organized market issues and </w:t>
      </w:r>
      <w:proofErr w:type="gramStart"/>
      <w:r w:rsidRPr="00703652">
        <w:t>encourage</w:t>
      </w:r>
      <w:proofErr w:type="gramEnd"/>
      <w:r w:rsidRPr="00703652">
        <w:t xml:space="preserve"> the PRC to expand this concept’s scope, </w:t>
      </w:r>
      <w:proofErr w:type="gramStart"/>
      <w:r w:rsidRPr="00703652">
        <w:t>so as to</w:t>
      </w:r>
      <w:proofErr w:type="gramEnd"/>
      <w:r w:rsidRPr="00703652">
        <w:t xml:space="preserve"> address several other DAM/WRAP interface concerns beyond WRAP holdbacks and SWEDE transmission limits. Bonneville also wants to call attention to Concept 02, which deals with FS metrics (PRM) and the extreme volatility this is causing from month to month in the program. We recognize that both are prioritized below Concept 05 that deals with Load Growth Factors. As issues have evolved in Bonneville’s scoping of DAM implementation since the January PRC approval of this plan, we see these both as having greater effects on participants continuing to be able to participate in the program. While Concept 05 is highly important, we view it as something that must be updated but may be a lower priority when considering the decision points that are coming for participants in October 2025 and January 2026. Bonneville asks that Concept 01 be expanded, Concept 02 be moved up to July of 2025 and Concept 05 be delayed into 2026.</w:t>
      </w:r>
    </w:p>
    <w:p w14:paraId="2A6A66B4" w14:textId="77777777" w:rsidR="00703652" w:rsidRPr="00703652" w:rsidRDefault="00703652" w:rsidP="00703652">
      <w:r w:rsidRPr="00703652">
        <w:rPr>
          <w:b/>
          <w:bCs/>
        </w:rPr>
        <w:lastRenderedPageBreak/>
        <w:t>02. Please supply any comments on Concepts that could impact a commitment to go Binding or remaining in the WRAP</w:t>
      </w:r>
    </w:p>
    <w:p w14:paraId="4EF2D10B" w14:textId="77777777" w:rsidR="00703652" w:rsidRPr="00703652" w:rsidRDefault="00703652" w:rsidP="00703652">
      <w:r w:rsidRPr="00703652">
        <w:t xml:space="preserve">October is a key decision point for current participants as it is the deadline to notify the program if a participant intends to exit before the program becomes binding. Many issues remain to be resolved in the WRAP design which is illustrated by the number of Concepts submitted in December. For very practical reasons, many Concepts were not prioritized for the 2025 workplan, including how a participant operates in the Operations program when it has load in both regions of the program. Bonneville believes participants need clarity on how WRAP will work with DAMs to provide the Resource Adequacy services that the program was designed to provide. The design was based on a bi-lateral </w:t>
      </w:r>
      <w:proofErr w:type="gramStart"/>
      <w:r w:rsidRPr="00703652">
        <w:t>construct</w:t>
      </w:r>
      <w:proofErr w:type="gramEnd"/>
      <w:r w:rsidRPr="00703652">
        <w:t xml:space="preserve"> and must be adjusted to work with organized markets that will dispatch resources to meet all load. In addition, participants also need a clear understanding of what the Operations program looks like when a participant has loads and generation in both regions. This needs to be addressed by October for example by clarifying dual region operations, or by revising the program so that all entities operate in a single region. The October deadline (for the 2-year exit provision) will be the point participants are evaluating financial risks for Winter 2027/2028. It is important that WRAP has addressed or mapped a path forward on the key issues at that decision point to give participants confidence that those future risks can be mitigated, while also recognizing much more can be addressed and resolved in the two-year period before the first binding season starts.</w:t>
      </w:r>
    </w:p>
    <w:p w14:paraId="544A820A" w14:textId="77777777" w:rsidR="00703652" w:rsidRPr="00703652" w:rsidRDefault="00703652" w:rsidP="00703652">
      <w:r w:rsidRPr="00703652">
        <w:rPr>
          <w:b/>
          <w:bCs/>
        </w:rPr>
        <w:t>03. Please supply any comments on the Executive Summary</w:t>
      </w:r>
    </w:p>
    <w:p w14:paraId="496B9AD1" w14:textId="77777777" w:rsidR="00703652" w:rsidRPr="00703652" w:rsidRDefault="00703652" w:rsidP="00703652">
      <w:r w:rsidRPr="00703652">
        <w:t>Bonneville would like to see a statement included in the executive summary reflecting the need for the Workplan to remain flexible in addressing rapidly evolving issues.</w:t>
      </w:r>
    </w:p>
    <w:p w14:paraId="2A36CC3C" w14:textId="77777777" w:rsidR="00703652" w:rsidRPr="00703652" w:rsidRDefault="00703652" w:rsidP="00703652">
      <w:r w:rsidRPr="00703652">
        <w:rPr>
          <w:b/>
          <w:bCs/>
        </w:rPr>
        <w:t>07. Please supply any comments on Section 4. Proposed Schedule and Plan of Action</w:t>
      </w:r>
    </w:p>
    <w:p w14:paraId="1345D8F7" w14:textId="77777777" w:rsidR="00703652" w:rsidRPr="00703652" w:rsidRDefault="00703652" w:rsidP="00703652">
      <w:r w:rsidRPr="00703652">
        <w:t xml:space="preserve">Section 4 addresses concepts that have been prioritized and states that the PRC </w:t>
      </w:r>
      <w:proofErr w:type="gramStart"/>
      <w:r w:rsidRPr="00703652">
        <w:t>as a whole has</w:t>
      </w:r>
      <w:proofErr w:type="gramEnd"/>
      <w:r w:rsidRPr="00703652">
        <w:t xml:space="preserve"> the responsibility for a concept after it is part of the workplan. Section 4 also states that the PRC will move on to other items if time allows. Bonneville supports an addition to this section to identify that the PRC has the flexibility to shift priorities, workplan purpose, or schedule if the PRC were presented with a concept that was considered urgent. Such flexibility could be enacted as an immediate request to BOD for a change. We do recognize that the Governance process has other paths for changes to be made, however we want to recognize this PRC process as being the most complete and collaborative process. The program is strengthened by significant issues being addressed by the broadest coalition of WRAP members possible.</w:t>
      </w:r>
    </w:p>
    <w:p w14:paraId="6806C3C2" w14:textId="77777777" w:rsidR="00703652" w:rsidRPr="00703652" w:rsidRDefault="00703652" w:rsidP="00703652">
      <w:r w:rsidRPr="00703652">
        <w:rPr>
          <w:b/>
          <w:bCs/>
        </w:rPr>
        <w:t>General Comment</w:t>
      </w:r>
    </w:p>
    <w:p w14:paraId="6690D479" w14:textId="77777777" w:rsidR="00703652" w:rsidRPr="00703652" w:rsidRDefault="00703652" w:rsidP="00703652">
      <w:r w:rsidRPr="00703652">
        <w:lastRenderedPageBreak/>
        <w:t>Bonneville thanks the WPP, the PRC, and WRAP members for all the hard work that has gone into developing the CRF workplan structure. </w:t>
      </w:r>
    </w:p>
    <w:p w14:paraId="311C6D6F" w14:textId="1655432C" w:rsidR="00703652" w:rsidRPr="00703652" w:rsidRDefault="00703652" w:rsidP="00703652">
      <w:r w:rsidRPr="00703652">
        <w:t>Bonneville remains very committed to WRAP’s mission and success. To support the program’s success, we propose the above adjustments to the current workplan structure to allow for resolution of these and other issues. Working to maximize clarity on the program’s future operations will allow members to be confident in a decision to continue past October in this extremely important program.</w:t>
      </w:r>
    </w:p>
    <w:p w14:paraId="489E5747" w14:textId="2DD1CAEB" w:rsidR="00A626E9" w:rsidRDefault="00A626E9">
      <w:r>
        <w:br w:type="page"/>
      </w:r>
    </w:p>
    <w:p w14:paraId="03227358" w14:textId="2154F760" w:rsidR="00AA4D78" w:rsidRPr="00740631" w:rsidRDefault="000B6A5F" w:rsidP="00093B01">
      <w:pPr>
        <w:pStyle w:val="Heading1"/>
      </w:pPr>
      <w:bookmarkStart w:id="112" w:name="_Ref202175078"/>
      <w:bookmarkStart w:id="113" w:name="_Toc202176558"/>
      <w:bookmarkStart w:id="114" w:name="_Toc202176724"/>
      <w:r>
        <w:lastRenderedPageBreak/>
        <w:t xml:space="preserve">Appendix </w:t>
      </w:r>
      <w:r w:rsidR="00114611">
        <w:t>F</w:t>
      </w:r>
      <w:r>
        <w:t xml:space="preserve"> – </w:t>
      </w:r>
      <w:r w:rsidR="00740631">
        <w:t xml:space="preserve">WPP </w:t>
      </w:r>
      <w:r w:rsidR="00740631" w:rsidRPr="00093B01">
        <w:t>Board</w:t>
      </w:r>
      <w:r w:rsidR="00740631">
        <w:t xml:space="preserve"> Meeting</w:t>
      </w:r>
      <w:r>
        <w:t xml:space="preserve"> </w:t>
      </w:r>
      <w:r w:rsidR="005D144A">
        <w:t>Jun</w:t>
      </w:r>
      <w:r>
        <w:t>.</w:t>
      </w:r>
      <w:r w:rsidRPr="00543F21">
        <w:t xml:space="preserve"> </w:t>
      </w:r>
      <w:r w:rsidR="005D144A">
        <w:t>25</w:t>
      </w:r>
      <w:r>
        <w:rPr>
          <w:vertAlign w:val="superscript"/>
        </w:rPr>
        <w:t>th</w:t>
      </w:r>
      <w:r w:rsidRPr="00543F21">
        <w:t>, 202</w:t>
      </w:r>
      <w:r>
        <w:t>5</w:t>
      </w:r>
      <w:r w:rsidRPr="00543F21">
        <w:t xml:space="preserve">; </w:t>
      </w:r>
      <w:r w:rsidR="005D144A">
        <w:t>9</w:t>
      </w:r>
      <w:r>
        <w:t>:</w:t>
      </w:r>
      <w:r w:rsidR="005D144A">
        <w:t>00</w:t>
      </w:r>
      <w:r>
        <w:t>-</w:t>
      </w:r>
      <w:r w:rsidRPr="00543F21">
        <w:t>1</w:t>
      </w:r>
      <w:r>
        <w:t>0</w:t>
      </w:r>
      <w:r w:rsidR="005D144A">
        <w:t>:30</w:t>
      </w:r>
      <w:r>
        <w:t>a</w:t>
      </w:r>
      <w:r w:rsidRPr="00543F21">
        <w:t xml:space="preserve">m </w:t>
      </w:r>
      <w:r>
        <w:t>PT</w:t>
      </w:r>
      <w:bookmarkEnd w:id="112"/>
      <w:bookmarkEnd w:id="113"/>
      <w:bookmarkEnd w:id="114"/>
    </w:p>
    <w:p w14:paraId="5BAFBA54" w14:textId="77777777" w:rsidR="00AA4D78" w:rsidRPr="00125008" w:rsidRDefault="00AA4D78" w:rsidP="00093B01">
      <w:pPr>
        <w:pStyle w:val="Heading1"/>
        <w:rPr>
          <w:rFonts w:ascii="Nirmala UI Semilight" w:eastAsia="Nirmala UI Semilight" w:hAnsi="Nirmala UI Semilight" w:cs="Nirmala UI Semilight"/>
          <w:b/>
          <w:bCs/>
          <w:sz w:val="22"/>
          <w:szCs w:val="22"/>
        </w:rPr>
      </w:pPr>
    </w:p>
    <w:p w14:paraId="7F8C0DAB" w14:textId="77777777" w:rsidR="00AA4D78" w:rsidRPr="00125008" w:rsidRDefault="00AA4D78" w:rsidP="00AA4D78">
      <w:pPr>
        <w:jc w:val="center"/>
        <w:rPr>
          <w:rFonts w:ascii="Nirmala UI Semilight" w:eastAsia="Nirmala UI Semilight" w:hAnsi="Nirmala UI Semilight" w:cs="Nirmala UI Semilight"/>
          <w:b/>
          <w:bCs/>
          <w:sz w:val="22"/>
          <w:szCs w:val="22"/>
        </w:rPr>
      </w:pPr>
      <w:r w:rsidRPr="00125008">
        <w:rPr>
          <w:rFonts w:ascii="Nirmala UI Semilight" w:eastAsia="Nirmala UI Semilight" w:hAnsi="Nirmala UI Semilight" w:cs="Nirmala UI Semilight"/>
          <w:b/>
          <w:bCs/>
          <w:sz w:val="22"/>
          <w:szCs w:val="22"/>
        </w:rPr>
        <w:t>Western Power Pool (WPP) Board of Directors Meeting</w:t>
      </w:r>
    </w:p>
    <w:p w14:paraId="3AF55235" w14:textId="77777777" w:rsidR="00AA4D78" w:rsidRPr="00125008" w:rsidRDefault="00AA4D78" w:rsidP="00AA4D78">
      <w:pPr>
        <w:jc w:val="center"/>
        <w:rPr>
          <w:rFonts w:ascii="Nirmala UI Semilight" w:eastAsia="Nirmala UI Semilight" w:hAnsi="Nirmala UI Semilight" w:cs="Nirmala UI Semilight"/>
          <w:b/>
          <w:bCs/>
          <w:sz w:val="22"/>
          <w:szCs w:val="22"/>
        </w:rPr>
      </w:pPr>
      <w:r w:rsidRPr="00125008">
        <w:rPr>
          <w:rFonts w:ascii="Nirmala UI Semilight" w:eastAsia="Nirmala UI Semilight" w:hAnsi="Nirmala UI Semilight" w:cs="Nirmala UI Semilight"/>
          <w:b/>
          <w:bCs/>
          <w:sz w:val="22"/>
          <w:szCs w:val="22"/>
        </w:rPr>
        <w:t>Meeting Minutes – Open Session</w:t>
      </w:r>
    </w:p>
    <w:p w14:paraId="705F831C" w14:textId="77777777" w:rsidR="00AA4D78" w:rsidRPr="00125008" w:rsidRDefault="00AA4D78" w:rsidP="00AA4D78">
      <w:pPr>
        <w:jc w:val="center"/>
        <w:rPr>
          <w:rFonts w:ascii="Nirmala UI Semilight" w:eastAsia="Nirmala UI Semilight" w:hAnsi="Nirmala UI Semilight" w:cs="Nirmala UI Semilight"/>
          <w:sz w:val="22"/>
          <w:szCs w:val="22"/>
        </w:rPr>
      </w:pPr>
      <w:r>
        <w:rPr>
          <w:rFonts w:ascii="Nirmala UI Semilight" w:eastAsia="Nirmala UI Semilight" w:hAnsi="Nirmala UI Semilight" w:cs="Nirmala UI Semilight"/>
          <w:sz w:val="22"/>
          <w:szCs w:val="22"/>
        </w:rPr>
        <w:t>June 25th</w:t>
      </w:r>
      <w:r w:rsidRPr="00125008">
        <w:rPr>
          <w:rFonts w:ascii="Nirmala UI Semilight" w:eastAsia="Nirmala UI Semilight" w:hAnsi="Nirmala UI Semilight" w:cs="Nirmala UI Semilight"/>
          <w:sz w:val="22"/>
          <w:szCs w:val="22"/>
        </w:rPr>
        <w:t>, 2025, 9:0</w:t>
      </w:r>
      <w:r>
        <w:rPr>
          <w:rFonts w:ascii="Nirmala UI Semilight" w:eastAsia="Nirmala UI Semilight" w:hAnsi="Nirmala UI Semilight" w:cs="Nirmala UI Semilight"/>
          <w:sz w:val="22"/>
          <w:szCs w:val="22"/>
        </w:rPr>
        <w:t>2</w:t>
      </w:r>
      <w:r w:rsidRPr="00125008">
        <w:rPr>
          <w:rFonts w:ascii="Nirmala UI Semilight" w:eastAsia="Nirmala UI Semilight" w:hAnsi="Nirmala UI Semilight" w:cs="Nirmala UI Semilight"/>
          <w:sz w:val="22"/>
          <w:szCs w:val="22"/>
        </w:rPr>
        <w:t xml:space="preserve"> – </w:t>
      </w:r>
      <w:r>
        <w:rPr>
          <w:rFonts w:ascii="Nirmala UI Semilight" w:eastAsia="Nirmala UI Semilight" w:hAnsi="Nirmala UI Semilight" w:cs="Nirmala UI Semilight"/>
          <w:sz w:val="22"/>
          <w:szCs w:val="22"/>
        </w:rPr>
        <w:t>10:27</w:t>
      </w:r>
      <w:r w:rsidRPr="00125008">
        <w:rPr>
          <w:rFonts w:ascii="Nirmala UI Semilight" w:eastAsia="Nirmala UI Semilight" w:hAnsi="Nirmala UI Semilight" w:cs="Nirmala UI Semilight"/>
          <w:sz w:val="22"/>
          <w:szCs w:val="22"/>
        </w:rPr>
        <w:t xml:space="preserve"> AM PT </w:t>
      </w:r>
    </w:p>
    <w:p w14:paraId="1B35AA6E" w14:textId="77777777" w:rsidR="00AA4D78" w:rsidRPr="00125008" w:rsidRDefault="00AA4D78" w:rsidP="00AA4D78">
      <w:pPr>
        <w:jc w:val="center"/>
        <w:rPr>
          <w:rFonts w:ascii="Nirmala UI Semilight" w:eastAsia="Nirmala UI Semilight" w:hAnsi="Nirmala UI Semilight" w:cs="Nirmala UI Semilight"/>
          <w:b/>
          <w:bCs/>
          <w:sz w:val="22"/>
          <w:szCs w:val="22"/>
        </w:rPr>
      </w:pPr>
      <w:r w:rsidRPr="00125008">
        <w:rPr>
          <w:rFonts w:ascii="Nirmala UI Semilight" w:eastAsia="Nirmala UI Semilight" w:hAnsi="Nirmala UI Semilight" w:cs="Nirmala UI Semilight"/>
          <w:b/>
          <w:bCs/>
          <w:sz w:val="22"/>
          <w:szCs w:val="22"/>
        </w:rPr>
        <w:t> </w:t>
      </w:r>
    </w:p>
    <w:p w14:paraId="74D80F1B" w14:textId="77777777" w:rsidR="00AA4D78" w:rsidRPr="00125008" w:rsidRDefault="00AA4D78" w:rsidP="00AA4D78">
      <w:pPr>
        <w:ind w:left="-90"/>
        <w:rPr>
          <w:rFonts w:ascii="Nirmala UI Semilight" w:eastAsia="Nirmala UI Semilight" w:hAnsi="Nirmala UI Semilight" w:cs="Nirmala UI Semilight"/>
          <w:sz w:val="22"/>
          <w:szCs w:val="22"/>
        </w:rPr>
      </w:pPr>
      <w:r w:rsidRPr="00125008">
        <w:rPr>
          <w:rFonts w:ascii="Nirmala UI Semilight" w:eastAsia="Nirmala UI Semilight" w:hAnsi="Nirmala UI Semilight" w:cs="Nirmala UI Semilight"/>
          <w:b/>
          <w:bCs/>
          <w:color w:val="000000" w:themeColor="text1"/>
          <w:sz w:val="22"/>
          <w:szCs w:val="22"/>
        </w:rPr>
        <w:t>Location: </w:t>
      </w:r>
      <w:r w:rsidRPr="00125008">
        <w:rPr>
          <w:rFonts w:ascii="Nirmala UI Semilight" w:eastAsia="Nirmala UI Semilight" w:hAnsi="Nirmala UI Semilight" w:cs="Nirmala UI Semilight"/>
          <w:color w:val="000000" w:themeColor="text1"/>
          <w:sz w:val="22"/>
          <w:szCs w:val="22"/>
        </w:rPr>
        <w:t xml:space="preserve">In-Person at the </w:t>
      </w:r>
      <w:r>
        <w:rPr>
          <w:rFonts w:ascii="Nirmala UI Semilight" w:eastAsia="Nirmala UI Semilight" w:hAnsi="Nirmala UI Semilight" w:cs="Nirmala UI Semilight"/>
          <w:color w:val="000000" w:themeColor="text1"/>
          <w:sz w:val="22"/>
          <w:szCs w:val="22"/>
        </w:rPr>
        <w:t>WPP Office in Portland, Oregon</w:t>
      </w:r>
      <w:r w:rsidRPr="00125008">
        <w:rPr>
          <w:rFonts w:ascii="Nirmala UI Semilight" w:eastAsia="Nirmala UI Semilight" w:hAnsi="Nirmala UI Semilight" w:cs="Nirmala UI Semilight"/>
          <w:color w:val="000000" w:themeColor="text1"/>
          <w:sz w:val="22"/>
          <w:szCs w:val="22"/>
        </w:rPr>
        <w:t xml:space="preserve"> with Virtual Microsoft Teams Participants (as noted)</w:t>
      </w:r>
    </w:p>
    <w:p w14:paraId="1FC87426" w14:textId="77777777" w:rsidR="00AA4D78" w:rsidRPr="00125008" w:rsidRDefault="00AA4D78" w:rsidP="00AA4D78">
      <w:pPr>
        <w:ind w:left="-90"/>
        <w:rPr>
          <w:rFonts w:ascii="Nirmala UI Semilight" w:eastAsia="Nirmala UI Semilight" w:hAnsi="Nirmala UI Semilight" w:cs="Nirmala UI Semilight"/>
          <w:sz w:val="22"/>
          <w:szCs w:val="22"/>
        </w:rPr>
      </w:pPr>
    </w:p>
    <w:p w14:paraId="681C9AA9" w14:textId="77777777" w:rsidR="00AA4D78" w:rsidRPr="00125008" w:rsidRDefault="00AA4D78" w:rsidP="00AA4D78">
      <w:pPr>
        <w:spacing w:after="120"/>
        <w:ind w:left="-90"/>
        <w:rPr>
          <w:rFonts w:ascii="Nirmala UI Semilight" w:eastAsia="Nirmala UI Semilight" w:hAnsi="Nirmala UI Semilight" w:cs="Nirmala UI Semilight"/>
          <w:b/>
          <w:bCs/>
          <w:sz w:val="22"/>
          <w:szCs w:val="22"/>
        </w:rPr>
      </w:pPr>
      <w:r w:rsidRPr="00125008">
        <w:rPr>
          <w:rFonts w:ascii="Nirmala UI Semilight" w:eastAsia="Nirmala UI Semilight" w:hAnsi="Nirmala UI Semilight" w:cs="Nirmala UI Semilight"/>
          <w:b/>
          <w:bCs/>
          <w:sz w:val="22"/>
          <w:szCs w:val="22"/>
        </w:rPr>
        <w:t>Attendees: </w:t>
      </w:r>
    </w:p>
    <w:tbl>
      <w:tblPr>
        <w:tblW w:w="864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6480"/>
      </w:tblGrid>
      <w:tr w:rsidR="00AA4D78" w:rsidRPr="00125008" w14:paraId="2D7CD90D" w14:textId="77777777" w:rsidTr="00156D19">
        <w:trPr>
          <w:trHeight w:val="708"/>
        </w:trPr>
        <w:tc>
          <w:tcPr>
            <w:tcW w:w="2160" w:type="dxa"/>
            <w:tcBorders>
              <w:top w:val="single" w:sz="6" w:space="0" w:color="7F7F7F" w:themeColor="text1" w:themeTint="80"/>
              <w:left w:val="nil"/>
              <w:bottom w:val="single" w:sz="6" w:space="0" w:color="7F7F7F" w:themeColor="text1" w:themeTint="80"/>
              <w:right w:val="nil"/>
            </w:tcBorders>
            <w:hideMark/>
          </w:tcPr>
          <w:p w14:paraId="2C6642D3" w14:textId="77777777" w:rsidR="00AA4D78" w:rsidRPr="00125008" w:rsidRDefault="00AA4D78" w:rsidP="00156D19">
            <w:pPr>
              <w:rPr>
                <w:rFonts w:ascii="Nirmala UI Semilight" w:eastAsia="Nirmala UI Semilight" w:hAnsi="Nirmala UI Semilight" w:cs="Nirmala UI Semilight"/>
                <w:sz w:val="22"/>
                <w:szCs w:val="22"/>
              </w:rPr>
            </w:pPr>
            <w:r w:rsidRPr="00125008">
              <w:rPr>
                <w:rFonts w:ascii="Nirmala UI Semilight" w:eastAsia="Nirmala UI Semilight" w:hAnsi="Nirmala UI Semilight" w:cs="Nirmala UI Semilight"/>
                <w:sz w:val="22"/>
                <w:szCs w:val="22"/>
              </w:rPr>
              <w:t>Board of Directors:  </w:t>
            </w:r>
          </w:p>
        </w:tc>
        <w:tc>
          <w:tcPr>
            <w:tcW w:w="6480" w:type="dxa"/>
            <w:tcBorders>
              <w:top w:val="single" w:sz="6" w:space="0" w:color="7F7F7F" w:themeColor="text1" w:themeTint="80"/>
              <w:left w:val="nil"/>
              <w:bottom w:val="single" w:sz="6" w:space="0" w:color="7F7F7F" w:themeColor="text1" w:themeTint="80"/>
              <w:right w:val="nil"/>
            </w:tcBorders>
            <w:hideMark/>
          </w:tcPr>
          <w:p w14:paraId="6A1E7509" w14:textId="77777777" w:rsidR="00AA4D78" w:rsidRPr="00125008" w:rsidRDefault="00AA4D78" w:rsidP="00156D19">
            <w:pPr>
              <w:rPr>
                <w:rFonts w:ascii="Nirmala UI Semilight" w:eastAsia="Nirmala UI Semilight" w:hAnsi="Nirmala UI Semilight" w:cs="Nirmala UI Semilight"/>
                <w:sz w:val="22"/>
                <w:szCs w:val="22"/>
              </w:rPr>
            </w:pPr>
            <w:r w:rsidRPr="00125008">
              <w:rPr>
                <w:rFonts w:ascii="Nirmala UI Semilight" w:eastAsia="Nirmala UI Semilight" w:hAnsi="Nirmala UI Semilight" w:cs="Nirmala UI Semilight"/>
                <w:sz w:val="22"/>
                <w:szCs w:val="22"/>
              </w:rPr>
              <w:t>Bill Drummond (Chair), Doug Howe</w:t>
            </w:r>
            <w:r>
              <w:rPr>
                <w:rFonts w:ascii="Nirmala UI Semilight" w:eastAsia="Nirmala UI Semilight" w:hAnsi="Nirmala UI Semilight" w:cs="Nirmala UI Semilight"/>
                <w:sz w:val="22"/>
                <w:szCs w:val="22"/>
              </w:rPr>
              <w:t xml:space="preserve"> (virtual)</w:t>
            </w:r>
            <w:r w:rsidRPr="00125008">
              <w:rPr>
                <w:rFonts w:ascii="Nirmala UI Semilight" w:eastAsia="Nirmala UI Semilight" w:hAnsi="Nirmala UI Semilight" w:cs="Nirmala UI Semilight"/>
                <w:sz w:val="22"/>
                <w:szCs w:val="22"/>
              </w:rPr>
              <w:t>, Susan Ackerman, Michelle Bertolino, Andy Ott</w:t>
            </w:r>
          </w:p>
        </w:tc>
      </w:tr>
      <w:tr w:rsidR="00AA4D78" w:rsidRPr="00125008" w14:paraId="435D141C" w14:textId="77777777" w:rsidTr="00156D19">
        <w:trPr>
          <w:trHeight w:val="735"/>
        </w:trPr>
        <w:tc>
          <w:tcPr>
            <w:tcW w:w="2160" w:type="dxa"/>
            <w:tcBorders>
              <w:top w:val="single" w:sz="6" w:space="0" w:color="7F7F7F" w:themeColor="text1" w:themeTint="80"/>
              <w:left w:val="nil"/>
              <w:bottom w:val="single" w:sz="6" w:space="0" w:color="7F7F7F" w:themeColor="text1" w:themeTint="80"/>
              <w:right w:val="nil"/>
            </w:tcBorders>
            <w:hideMark/>
          </w:tcPr>
          <w:p w14:paraId="299F8816" w14:textId="77777777" w:rsidR="00AA4D78" w:rsidRPr="00125008" w:rsidRDefault="00AA4D78" w:rsidP="00156D19">
            <w:pPr>
              <w:rPr>
                <w:rFonts w:ascii="Nirmala UI Semilight" w:eastAsia="Nirmala UI Semilight" w:hAnsi="Nirmala UI Semilight" w:cs="Nirmala UI Semilight"/>
                <w:sz w:val="22"/>
                <w:szCs w:val="22"/>
              </w:rPr>
            </w:pPr>
            <w:r w:rsidRPr="00125008">
              <w:rPr>
                <w:rFonts w:ascii="Nirmala UI Semilight" w:eastAsia="Nirmala UI Semilight" w:hAnsi="Nirmala UI Semilight" w:cs="Nirmala UI Semilight"/>
                <w:sz w:val="22"/>
                <w:szCs w:val="22"/>
              </w:rPr>
              <w:t>Staff and Invited Presenters: </w:t>
            </w:r>
          </w:p>
        </w:tc>
        <w:tc>
          <w:tcPr>
            <w:tcW w:w="6480" w:type="dxa"/>
            <w:tcBorders>
              <w:top w:val="single" w:sz="6" w:space="0" w:color="7F7F7F" w:themeColor="text1" w:themeTint="80"/>
              <w:left w:val="nil"/>
              <w:bottom w:val="single" w:sz="6" w:space="0" w:color="7F7F7F" w:themeColor="text1" w:themeTint="80"/>
              <w:right w:val="nil"/>
            </w:tcBorders>
            <w:hideMark/>
          </w:tcPr>
          <w:p w14:paraId="68348EF4" w14:textId="77777777" w:rsidR="00AA4D78" w:rsidRPr="00125008" w:rsidRDefault="00AA4D78" w:rsidP="00156D19">
            <w:pPr>
              <w:rPr>
                <w:rFonts w:ascii="Nirmala UI Semilight" w:eastAsia="Nirmala UI Semilight" w:hAnsi="Nirmala UI Semilight" w:cs="Nirmala UI Semilight"/>
                <w:sz w:val="22"/>
                <w:szCs w:val="22"/>
              </w:rPr>
            </w:pPr>
            <w:r w:rsidRPr="00125008">
              <w:rPr>
                <w:rFonts w:ascii="Nirmala UI Semilight" w:eastAsia="Nirmala UI Semilight" w:hAnsi="Nirmala UI Semilight" w:cs="Nirmala UI Semilight"/>
                <w:sz w:val="22"/>
                <w:szCs w:val="22"/>
              </w:rPr>
              <w:t>S</w:t>
            </w:r>
            <w:r w:rsidRPr="00125008">
              <w:rPr>
                <w:rFonts w:ascii="Nirmala UI Semilight" w:eastAsia="Nirmala UI Semilight" w:hAnsi="Nirmala UI Semilight" w:cs="Nirmala UI Semilight"/>
                <w:color w:val="000000" w:themeColor="text1"/>
                <w:sz w:val="22"/>
                <w:szCs w:val="22"/>
              </w:rPr>
              <w:t>arah Edmonds, Rebecca Sexton, Lisa Hardie, Carla Hudson, Eric Campbell</w:t>
            </w:r>
            <w:r>
              <w:rPr>
                <w:rFonts w:ascii="Nirmala UI Semilight" w:eastAsia="Nirmala UI Semilight" w:hAnsi="Nirmala UI Semilight" w:cs="Nirmala UI Semilight"/>
                <w:color w:val="000000" w:themeColor="text1"/>
                <w:sz w:val="22"/>
                <w:szCs w:val="22"/>
              </w:rPr>
              <w:t xml:space="preserve"> (virtual)</w:t>
            </w:r>
            <w:r w:rsidRPr="00125008">
              <w:rPr>
                <w:rFonts w:ascii="Nirmala UI Semilight" w:eastAsia="Nirmala UI Semilight" w:hAnsi="Nirmala UI Semilight" w:cs="Nirmala UI Semilight"/>
                <w:color w:val="000000" w:themeColor="text1"/>
                <w:sz w:val="22"/>
                <w:szCs w:val="22"/>
              </w:rPr>
              <w:t>, Ryan Roy, Michael O’Brien</w:t>
            </w:r>
            <w:r>
              <w:rPr>
                <w:rFonts w:ascii="Nirmala UI Semilight" w:eastAsia="Nirmala UI Semilight" w:hAnsi="Nirmala UI Semilight" w:cs="Nirmala UI Semilight"/>
                <w:color w:val="000000" w:themeColor="text1"/>
                <w:sz w:val="22"/>
                <w:szCs w:val="22"/>
              </w:rPr>
              <w:t>, Kevin Conway, Justin Butler,</w:t>
            </w:r>
            <w:r w:rsidRPr="00125008">
              <w:rPr>
                <w:rFonts w:ascii="Nirmala UI Semilight" w:eastAsia="Nirmala UI Semilight" w:hAnsi="Nirmala UI Semilight" w:cs="Nirmala UI Semilight"/>
                <w:color w:val="000000" w:themeColor="text1"/>
                <w:sz w:val="22"/>
                <w:szCs w:val="22"/>
              </w:rPr>
              <w:t xml:space="preserve"> Elise Mousseau (virtual), Beau Beljean (virtual), Maya McNichol (virtual)</w:t>
            </w:r>
            <w:r>
              <w:rPr>
                <w:rFonts w:ascii="Nirmala UI Semilight" w:eastAsia="Nirmala UI Semilight" w:hAnsi="Nirmala UI Semilight" w:cs="Nirmala UI Semilight"/>
                <w:color w:val="000000" w:themeColor="text1"/>
                <w:sz w:val="22"/>
                <w:szCs w:val="22"/>
              </w:rPr>
              <w:t>, Charles Hendrix (virtual)</w:t>
            </w:r>
          </w:p>
        </w:tc>
      </w:tr>
      <w:tr w:rsidR="00AA4D78" w:rsidRPr="00125008" w14:paraId="58D96B20" w14:textId="77777777" w:rsidTr="00156D19">
        <w:trPr>
          <w:trHeight w:val="438"/>
        </w:trPr>
        <w:tc>
          <w:tcPr>
            <w:tcW w:w="2160" w:type="dxa"/>
            <w:tcBorders>
              <w:top w:val="single" w:sz="6" w:space="0" w:color="7F7F7F" w:themeColor="text1" w:themeTint="80"/>
              <w:left w:val="nil"/>
              <w:bottom w:val="single" w:sz="6" w:space="0" w:color="7F7F7F" w:themeColor="text1" w:themeTint="80"/>
              <w:right w:val="nil"/>
            </w:tcBorders>
          </w:tcPr>
          <w:p w14:paraId="64D95E78" w14:textId="77777777" w:rsidR="00AA4D78" w:rsidRPr="00125008" w:rsidRDefault="00AA4D78" w:rsidP="00156D19">
            <w:pPr>
              <w:rPr>
                <w:rFonts w:ascii="Nirmala UI Semilight" w:eastAsia="Nirmala UI Semilight" w:hAnsi="Nirmala UI Semilight" w:cs="Nirmala UI Semilight"/>
                <w:sz w:val="22"/>
                <w:szCs w:val="22"/>
              </w:rPr>
            </w:pPr>
            <w:r w:rsidRPr="00125008">
              <w:rPr>
                <w:rFonts w:ascii="Nirmala UI Semilight" w:eastAsia="Nirmala UI Semilight" w:hAnsi="Nirmala UI Semilight" w:cs="Nirmala UI Semilight"/>
                <w:sz w:val="22"/>
                <w:szCs w:val="22"/>
              </w:rPr>
              <w:t>Other Attendees:</w:t>
            </w:r>
          </w:p>
        </w:tc>
        <w:tc>
          <w:tcPr>
            <w:tcW w:w="6480" w:type="dxa"/>
            <w:tcBorders>
              <w:top w:val="single" w:sz="6" w:space="0" w:color="7F7F7F" w:themeColor="text1" w:themeTint="80"/>
              <w:left w:val="nil"/>
              <w:bottom w:val="single" w:sz="6" w:space="0" w:color="7F7F7F" w:themeColor="text1" w:themeTint="80"/>
              <w:right w:val="nil"/>
            </w:tcBorders>
          </w:tcPr>
          <w:p w14:paraId="020A1BCE" w14:textId="77777777" w:rsidR="00AA4D78" w:rsidRPr="00125008" w:rsidRDefault="00AA4D78" w:rsidP="00156D19">
            <w:pPr>
              <w:spacing w:line="259" w:lineRule="auto"/>
              <w:rPr>
                <w:rFonts w:ascii="Nirmala UI Semilight" w:eastAsia="Nirmala UI Semilight" w:hAnsi="Nirmala UI Semilight" w:cs="Nirmala UI Semilight"/>
                <w:sz w:val="22"/>
                <w:szCs w:val="22"/>
              </w:rPr>
            </w:pPr>
            <w:r>
              <w:rPr>
                <w:rFonts w:ascii="Nirmala UI Semilight" w:eastAsia="Nirmala UI Semilight" w:hAnsi="Nirmala UI Semilight" w:cs="Nirmala UI Semilight"/>
                <w:sz w:val="22"/>
                <w:szCs w:val="22"/>
              </w:rPr>
              <w:t>Rachel Dibble, Steve Bellcoff, Sachi Begur (virtual), Ben Fitch-Fleischmann (virtual), Tatum Bingham (virtual), Tim Bodell (virtual), Cait O-Reilly (virtual), Caleb Stovall (virtual), Edin Terzic (virtual), Gina Gargano-Amari (virtual), Greg Harrison (virtual), Brandon Holmes (virtual), Jacqueline Vogel (virtual), Peter Jimenez (virtual), Kyle Petty (virtual), Tyler Moore (virtual), Carly Page (virtual)</w:t>
            </w:r>
          </w:p>
        </w:tc>
      </w:tr>
    </w:tbl>
    <w:p w14:paraId="27EF9ACC" w14:textId="77777777" w:rsidR="00AA4D78" w:rsidRDefault="00AA4D78" w:rsidP="00AA4D78">
      <w:pPr>
        <w:rPr>
          <w:rFonts w:ascii="Nirmala UI Semilight" w:eastAsia="Nirmala UI Semilight" w:hAnsi="Nirmala UI Semilight" w:cs="Nirmala UI Semilight"/>
          <w:b/>
          <w:bCs/>
          <w:i/>
          <w:iCs/>
          <w:sz w:val="22"/>
          <w:szCs w:val="22"/>
        </w:rPr>
      </w:pPr>
    </w:p>
    <w:p w14:paraId="2E124B5E" w14:textId="77777777" w:rsidR="00AA4D78" w:rsidRPr="00125008" w:rsidRDefault="00AA4D78" w:rsidP="00AA4D78">
      <w:pPr>
        <w:rPr>
          <w:rFonts w:ascii="Nirmala UI Semilight" w:eastAsia="Nirmala UI Semilight" w:hAnsi="Nirmala UI Semilight" w:cs="Nirmala UI Semilight"/>
          <w:b/>
          <w:bCs/>
          <w:i/>
          <w:iCs/>
          <w:sz w:val="22"/>
          <w:szCs w:val="22"/>
        </w:rPr>
      </w:pPr>
    </w:p>
    <w:p w14:paraId="0EE22506" w14:textId="77777777" w:rsidR="00AA4D78" w:rsidRPr="00125008" w:rsidRDefault="00AA4D78" w:rsidP="00AA4D78">
      <w:pPr>
        <w:pStyle w:val="ListParagraph"/>
        <w:numPr>
          <w:ilvl w:val="0"/>
          <w:numId w:val="96"/>
        </w:numPr>
        <w:spacing w:after="0"/>
        <w:jc w:val="left"/>
        <w:rPr>
          <w:rFonts w:ascii="Nirmala UI Semilight" w:eastAsia="Nirmala UI Semilight" w:hAnsi="Nirmala UI Semilight" w:cs="Nirmala UI Semilight"/>
          <w:b/>
          <w:bCs/>
          <w:sz w:val="22"/>
          <w:szCs w:val="22"/>
        </w:rPr>
      </w:pPr>
      <w:r w:rsidRPr="00125008">
        <w:rPr>
          <w:rFonts w:ascii="Nirmala UI Semilight" w:eastAsia="Nirmala UI Semilight" w:hAnsi="Nirmala UI Semilight" w:cs="Nirmala UI Semilight"/>
          <w:b/>
          <w:bCs/>
          <w:sz w:val="22"/>
          <w:szCs w:val="22"/>
        </w:rPr>
        <w:t>Call to Order</w:t>
      </w:r>
    </w:p>
    <w:p w14:paraId="14B322C9" w14:textId="77777777" w:rsidR="00AA4D78" w:rsidRPr="00125008" w:rsidRDefault="00AA4D78" w:rsidP="00AA4D78">
      <w:pPr>
        <w:pStyle w:val="ListParagraph"/>
        <w:rPr>
          <w:rFonts w:ascii="Nirmala UI Semilight" w:eastAsia="Nirmala UI Semilight" w:hAnsi="Nirmala UI Semilight" w:cs="Nirmala UI Semilight"/>
          <w:sz w:val="22"/>
          <w:szCs w:val="22"/>
        </w:rPr>
      </w:pPr>
      <w:r w:rsidRPr="00125008">
        <w:rPr>
          <w:rFonts w:ascii="Nirmala UI Semilight" w:eastAsia="Nirmala UI Semilight" w:hAnsi="Nirmala UI Semilight" w:cs="Nirmala UI Semilight"/>
          <w:sz w:val="22"/>
          <w:szCs w:val="22"/>
        </w:rPr>
        <w:t>The regular meeting of the Western Power Pool Board of Directors was called to order at 9:0</w:t>
      </w:r>
      <w:r>
        <w:rPr>
          <w:rFonts w:ascii="Nirmala UI Semilight" w:eastAsia="Nirmala UI Semilight" w:hAnsi="Nirmala UI Semilight" w:cs="Nirmala UI Semilight"/>
          <w:sz w:val="22"/>
          <w:szCs w:val="22"/>
        </w:rPr>
        <w:t>2</w:t>
      </w:r>
      <w:r w:rsidRPr="00125008">
        <w:rPr>
          <w:rFonts w:ascii="Nirmala UI Semilight" w:eastAsia="Nirmala UI Semilight" w:hAnsi="Nirmala UI Semilight" w:cs="Nirmala UI Semilight"/>
          <w:sz w:val="22"/>
          <w:szCs w:val="22"/>
        </w:rPr>
        <w:t xml:space="preserve"> AM </w:t>
      </w:r>
      <w:r>
        <w:rPr>
          <w:rFonts w:ascii="Nirmala UI Semilight" w:eastAsia="Nirmala UI Semilight" w:hAnsi="Nirmala UI Semilight" w:cs="Nirmala UI Semilight"/>
          <w:sz w:val="22"/>
          <w:szCs w:val="22"/>
        </w:rPr>
        <w:t>June 25</w:t>
      </w:r>
      <w:r w:rsidRPr="00F0234C">
        <w:rPr>
          <w:rFonts w:ascii="Nirmala UI Semilight" w:eastAsia="Nirmala UI Semilight" w:hAnsi="Nirmala UI Semilight" w:cs="Nirmala UI Semilight"/>
          <w:sz w:val="22"/>
          <w:szCs w:val="22"/>
          <w:vertAlign w:val="superscript"/>
        </w:rPr>
        <w:t>th</w:t>
      </w:r>
      <w:r>
        <w:rPr>
          <w:rFonts w:ascii="Nirmala UI Semilight" w:eastAsia="Nirmala UI Semilight" w:hAnsi="Nirmala UI Semilight" w:cs="Nirmala UI Semilight"/>
          <w:sz w:val="22"/>
          <w:szCs w:val="22"/>
        </w:rPr>
        <w:t>,</w:t>
      </w:r>
      <w:r w:rsidRPr="00125008">
        <w:rPr>
          <w:rFonts w:ascii="Nirmala UI Semilight" w:eastAsia="Nirmala UI Semilight" w:hAnsi="Nirmala UI Semilight" w:cs="Nirmala UI Semilight"/>
          <w:sz w:val="22"/>
          <w:szCs w:val="22"/>
        </w:rPr>
        <w:t xml:space="preserve"> 2025, by Chair Bill Drummond. </w:t>
      </w:r>
    </w:p>
    <w:p w14:paraId="374A3710" w14:textId="77777777" w:rsidR="00AA4D78" w:rsidRPr="00125008" w:rsidRDefault="00AA4D78" w:rsidP="00AA4D78">
      <w:pPr>
        <w:pStyle w:val="ListParagraph"/>
        <w:rPr>
          <w:rFonts w:ascii="Nirmala UI Semilight" w:eastAsia="Nirmala UI Semilight" w:hAnsi="Nirmala UI Semilight" w:cs="Nirmala UI Semilight"/>
          <w:b/>
          <w:bCs/>
          <w:sz w:val="22"/>
          <w:szCs w:val="22"/>
        </w:rPr>
      </w:pPr>
    </w:p>
    <w:p w14:paraId="352F2393" w14:textId="77777777" w:rsidR="00AA4D78" w:rsidRPr="00125008" w:rsidRDefault="00AA4D78" w:rsidP="00AA4D78">
      <w:pPr>
        <w:pStyle w:val="ListParagraph"/>
        <w:numPr>
          <w:ilvl w:val="0"/>
          <w:numId w:val="96"/>
        </w:numPr>
        <w:spacing w:after="0"/>
        <w:jc w:val="left"/>
        <w:rPr>
          <w:rFonts w:ascii="Nirmala UI Semilight" w:eastAsia="Nirmala UI Semilight" w:hAnsi="Nirmala UI Semilight" w:cs="Nirmala UI Semilight"/>
          <w:b/>
          <w:bCs/>
          <w:sz w:val="22"/>
          <w:szCs w:val="22"/>
        </w:rPr>
      </w:pPr>
      <w:r w:rsidRPr="00125008">
        <w:rPr>
          <w:rFonts w:ascii="Nirmala UI Semilight" w:eastAsia="Nirmala UI Semilight" w:hAnsi="Nirmala UI Semilight" w:cs="Nirmala UI Semilight"/>
          <w:b/>
          <w:bCs/>
          <w:sz w:val="22"/>
          <w:szCs w:val="22"/>
        </w:rPr>
        <w:t>Determination of a Quorum</w:t>
      </w:r>
    </w:p>
    <w:p w14:paraId="6C74922B" w14:textId="77777777" w:rsidR="00AA4D78" w:rsidRPr="00125008" w:rsidRDefault="00AA4D78" w:rsidP="00AA4D78">
      <w:pPr>
        <w:pStyle w:val="ListParagraph"/>
        <w:rPr>
          <w:rFonts w:ascii="Nirmala UI Semilight" w:eastAsia="Nirmala UI Semilight" w:hAnsi="Nirmala UI Semilight" w:cs="Nirmala UI Semilight"/>
          <w:sz w:val="22"/>
          <w:szCs w:val="22"/>
        </w:rPr>
      </w:pPr>
      <w:r w:rsidRPr="00125008">
        <w:rPr>
          <w:rFonts w:ascii="Nirmala UI Semilight" w:eastAsia="Nirmala UI Semilight" w:hAnsi="Nirmala UI Semilight" w:cs="Nirmala UI Semilight"/>
          <w:sz w:val="22"/>
          <w:szCs w:val="22"/>
        </w:rPr>
        <w:t>Determination of a quorum was established by Secretary Susan Ackerman.</w:t>
      </w:r>
    </w:p>
    <w:p w14:paraId="4F187EAC" w14:textId="77777777" w:rsidR="00AA4D78" w:rsidRPr="00125008" w:rsidRDefault="00AA4D78" w:rsidP="00AA4D78">
      <w:pPr>
        <w:pStyle w:val="ListParagraph"/>
        <w:rPr>
          <w:rFonts w:ascii="Nirmala UI Semilight" w:eastAsia="Nirmala UI Semilight" w:hAnsi="Nirmala UI Semilight" w:cs="Nirmala UI Semilight"/>
          <w:b/>
          <w:bCs/>
          <w:sz w:val="22"/>
          <w:szCs w:val="22"/>
        </w:rPr>
      </w:pPr>
    </w:p>
    <w:p w14:paraId="79C05A7B" w14:textId="77777777" w:rsidR="00AA4D78" w:rsidRPr="00125008" w:rsidRDefault="00AA4D78" w:rsidP="00AA4D78">
      <w:pPr>
        <w:pStyle w:val="ListParagraph"/>
        <w:numPr>
          <w:ilvl w:val="0"/>
          <w:numId w:val="96"/>
        </w:numPr>
        <w:spacing w:after="0"/>
        <w:jc w:val="left"/>
        <w:rPr>
          <w:rFonts w:ascii="Nirmala UI Semilight" w:eastAsia="Nirmala UI Semilight" w:hAnsi="Nirmala UI Semilight" w:cs="Nirmala UI Semilight"/>
          <w:b/>
          <w:bCs/>
          <w:sz w:val="22"/>
          <w:szCs w:val="22"/>
        </w:rPr>
      </w:pPr>
      <w:r w:rsidRPr="00125008">
        <w:rPr>
          <w:rFonts w:ascii="Nirmala UI Semilight" w:eastAsia="Nirmala UI Semilight" w:hAnsi="Nirmala UI Semilight" w:cs="Nirmala UI Semilight"/>
          <w:b/>
          <w:bCs/>
          <w:sz w:val="22"/>
          <w:szCs w:val="22"/>
        </w:rPr>
        <w:t>Agenda Approval</w:t>
      </w:r>
    </w:p>
    <w:p w14:paraId="635C2441" w14:textId="77777777" w:rsidR="00AA4D78" w:rsidRPr="00125008" w:rsidRDefault="00AA4D78" w:rsidP="00AA4D78">
      <w:pPr>
        <w:ind w:left="720"/>
        <w:rPr>
          <w:rFonts w:ascii="Nirmala UI Semilight" w:eastAsia="Nirmala UI Semilight" w:hAnsi="Nirmala UI Semilight" w:cs="Nirmala UI Semilight"/>
          <w:sz w:val="22"/>
          <w:szCs w:val="22"/>
        </w:rPr>
      </w:pPr>
      <w:r w:rsidRPr="00125008">
        <w:rPr>
          <w:rFonts w:ascii="Nirmala UI Semilight" w:eastAsia="Nirmala UI Semilight" w:hAnsi="Nirmala UI Semilight" w:cs="Nirmala UI Semilight"/>
          <w:sz w:val="22"/>
          <w:szCs w:val="22"/>
        </w:rPr>
        <w:t>The agenda was reviewed by the Board.</w:t>
      </w:r>
      <w:r>
        <w:rPr>
          <w:rFonts w:ascii="Nirmala UI Semilight" w:eastAsia="Nirmala UI Semilight" w:hAnsi="Nirmala UI Semilight" w:cs="Nirmala UI Semilight"/>
          <w:sz w:val="22"/>
          <w:szCs w:val="22"/>
        </w:rPr>
        <w:t xml:space="preserve">  Bill Drummond asked Sarah Edmonds if there were any changes to the agenda.  Sarah Edmonds responded that there were </w:t>
      </w:r>
      <w:proofErr w:type="gramStart"/>
      <w:r>
        <w:rPr>
          <w:rFonts w:ascii="Nirmala UI Semilight" w:eastAsia="Nirmala UI Semilight" w:hAnsi="Nirmala UI Semilight" w:cs="Nirmala UI Semilight"/>
          <w:sz w:val="22"/>
          <w:szCs w:val="22"/>
        </w:rPr>
        <w:t>not</w:t>
      </w:r>
      <w:proofErr w:type="gramEnd"/>
      <w:r>
        <w:rPr>
          <w:rFonts w:ascii="Nirmala UI Semilight" w:eastAsia="Nirmala UI Semilight" w:hAnsi="Nirmala UI Semilight" w:cs="Nirmala UI Semilight"/>
          <w:sz w:val="22"/>
          <w:szCs w:val="22"/>
        </w:rPr>
        <w:t>.</w:t>
      </w:r>
      <w:r w:rsidRPr="00125008">
        <w:rPr>
          <w:rFonts w:ascii="Nirmala UI Semilight" w:eastAsia="Nirmala UI Semilight" w:hAnsi="Nirmala UI Semilight" w:cs="Nirmala UI Semilight"/>
          <w:sz w:val="22"/>
          <w:szCs w:val="22"/>
        </w:rPr>
        <w:t xml:space="preserve"> </w:t>
      </w:r>
    </w:p>
    <w:p w14:paraId="60E7D051" w14:textId="77777777" w:rsidR="00AA4D78" w:rsidRPr="00125008" w:rsidRDefault="00AA4D78" w:rsidP="00AA4D78">
      <w:pPr>
        <w:ind w:left="720"/>
        <w:rPr>
          <w:rFonts w:ascii="Nirmala UI Semilight" w:eastAsia="Nirmala UI Semilight" w:hAnsi="Nirmala UI Semilight" w:cs="Nirmala UI Semilight"/>
          <w:sz w:val="22"/>
          <w:szCs w:val="22"/>
        </w:rPr>
      </w:pPr>
    </w:p>
    <w:p w14:paraId="382F932F" w14:textId="77777777" w:rsidR="00AA4D78" w:rsidRDefault="00AA4D78" w:rsidP="00AA4D78">
      <w:pPr>
        <w:ind w:left="1440"/>
        <w:rPr>
          <w:rFonts w:ascii="Nirmala UI Semilight" w:eastAsia="Nirmala UI Semilight" w:hAnsi="Nirmala UI Semilight" w:cs="Nirmala UI Semilight"/>
          <w:i/>
          <w:iCs/>
          <w:sz w:val="22"/>
          <w:szCs w:val="22"/>
        </w:rPr>
      </w:pPr>
      <w:r w:rsidRPr="00125008">
        <w:rPr>
          <w:rFonts w:ascii="Nirmala UI Semilight" w:eastAsia="Nirmala UI Semilight" w:hAnsi="Nirmala UI Semilight" w:cs="Nirmala UI Semilight"/>
          <w:i/>
          <w:iCs/>
          <w:sz w:val="22"/>
          <w:szCs w:val="22"/>
        </w:rPr>
        <w:t xml:space="preserve">A motion to approve the agenda was made by </w:t>
      </w:r>
      <w:r>
        <w:rPr>
          <w:rFonts w:ascii="Nirmala UI Semilight" w:eastAsia="Nirmala UI Semilight" w:hAnsi="Nirmala UI Semilight" w:cs="Nirmala UI Semilight"/>
          <w:i/>
          <w:iCs/>
          <w:sz w:val="22"/>
          <w:szCs w:val="22"/>
        </w:rPr>
        <w:t>Michelle Bertolino</w:t>
      </w:r>
      <w:r w:rsidRPr="00125008">
        <w:rPr>
          <w:rFonts w:ascii="Nirmala UI Semilight" w:eastAsia="Nirmala UI Semilight" w:hAnsi="Nirmala UI Semilight" w:cs="Nirmala UI Semilight"/>
          <w:i/>
          <w:iCs/>
          <w:sz w:val="22"/>
          <w:szCs w:val="22"/>
        </w:rPr>
        <w:t xml:space="preserve"> and seconded by </w:t>
      </w:r>
      <w:r>
        <w:rPr>
          <w:rFonts w:ascii="Nirmala UI Semilight" w:eastAsia="Nirmala UI Semilight" w:hAnsi="Nirmala UI Semilight" w:cs="Nirmala UI Semilight"/>
          <w:i/>
          <w:iCs/>
          <w:sz w:val="22"/>
          <w:szCs w:val="22"/>
        </w:rPr>
        <w:t>Andy Ott</w:t>
      </w:r>
      <w:r w:rsidRPr="00125008">
        <w:rPr>
          <w:rFonts w:ascii="Nirmala UI Semilight" w:eastAsia="Nirmala UI Semilight" w:hAnsi="Nirmala UI Semilight" w:cs="Nirmala UI Semilight"/>
          <w:i/>
          <w:iCs/>
          <w:sz w:val="22"/>
          <w:szCs w:val="22"/>
        </w:rPr>
        <w:t>. The motion passed unanimously.</w:t>
      </w:r>
    </w:p>
    <w:p w14:paraId="142E5129" w14:textId="77777777" w:rsidR="00AA4D78" w:rsidRPr="00125008" w:rsidRDefault="00AA4D78" w:rsidP="00AA4D78">
      <w:pPr>
        <w:ind w:left="1440"/>
        <w:rPr>
          <w:rFonts w:ascii="Nirmala UI Semilight" w:eastAsia="Nirmala UI Semilight" w:hAnsi="Nirmala UI Semilight" w:cs="Nirmala UI Semilight"/>
          <w:i/>
          <w:iCs/>
          <w:sz w:val="22"/>
          <w:szCs w:val="22"/>
        </w:rPr>
      </w:pPr>
    </w:p>
    <w:p w14:paraId="4FEC58A0" w14:textId="77777777" w:rsidR="00AA4D78" w:rsidRPr="00125008" w:rsidRDefault="00AA4D78" w:rsidP="00AA4D78">
      <w:pPr>
        <w:pStyle w:val="ListParagraph"/>
        <w:numPr>
          <w:ilvl w:val="0"/>
          <w:numId w:val="96"/>
        </w:numPr>
        <w:spacing w:after="0" w:line="259" w:lineRule="auto"/>
        <w:jc w:val="left"/>
        <w:rPr>
          <w:rFonts w:ascii="Nirmala UI Semilight" w:eastAsia="Nirmala UI Semilight" w:hAnsi="Nirmala UI Semilight" w:cs="Nirmala UI Semilight"/>
          <w:b/>
          <w:bCs/>
          <w:sz w:val="22"/>
          <w:szCs w:val="22"/>
        </w:rPr>
      </w:pPr>
      <w:r w:rsidRPr="00125008">
        <w:rPr>
          <w:rFonts w:ascii="Nirmala UI Semilight" w:eastAsia="Nirmala UI Semilight" w:hAnsi="Nirmala UI Semilight" w:cs="Nirmala UI Semilight"/>
          <w:b/>
          <w:bCs/>
          <w:sz w:val="22"/>
          <w:szCs w:val="22"/>
        </w:rPr>
        <w:t>Approval of Meeting Minutes</w:t>
      </w:r>
    </w:p>
    <w:p w14:paraId="3910DDF3" w14:textId="77777777" w:rsidR="00AA4D78" w:rsidRPr="00125008" w:rsidRDefault="00AA4D78" w:rsidP="00AA4D78">
      <w:pPr>
        <w:spacing w:line="259" w:lineRule="auto"/>
        <w:ind w:left="720"/>
        <w:rPr>
          <w:rFonts w:ascii="Nirmala UI Semilight" w:eastAsia="Nirmala UI Semilight" w:hAnsi="Nirmala UI Semilight" w:cs="Nirmala UI Semilight"/>
          <w:sz w:val="22"/>
          <w:szCs w:val="22"/>
        </w:rPr>
      </w:pPr>
      <w:r w:rsidRPr="00125008">
        <w:rPr>
          <w:rFonts w:ascii="Nirmala UI Semilight" w:eastAsia="Nirmala UI Semilight" w:hAnsi="Nirmala UI Semilight" w:cs="Nirmala UI Semilight"/>
          <w:sz w:val="22"/>
          <w:szCs w:val="22"/>
        </w:rPr>
        <w:t xml:space="preserve">The previous meetings’ minutes were reviewed by the Board. </w:t>
      </w:r>
    </w:p>
    <w:p w14:paraId="571F755D" w14:textId="77777777" w:rsidR="00AA4D78" w:rsidRPr="00125008" w:rsidRDefault="00AA4D78" w:rsidP="00AA4D78">
      <w:pPr>
        <w:spacing w:line="259" w:lineRule="auto"/>
        <w:ind w:left="720"/>
        <w:rPr>
          <w:rFonts w:ascii="Nirmala UI Semilight" w:eastAsia="Nirmala UI Semilight" w:hAnsi="Nirmala UI Semilight" w:cs="Nirmala UI Semilight"/>
          <w:sz w:val="22"/>
          <w:szCs w:val="22"/>
        </w:rPr>
      </w:pPr>
    </w:p>
    <w:p w14:paraId="6CE65290" w14:textId="77777777" w:rsidR="00AA4D78" w:rsidRPr="00125008" w:rsidRDefault="00AA4D78" w:rsidP="00AA4D78">
      <w:pPr>
        <w:ind w:left="1440"/>
        <w:rPr>
          <w:rFonts w:ascii="Nirmala UI Semilight" w:eastAsia="Nirmala UI Semilight" w:hAnsi="Nirmala UI Semilight" w:cs="Nirmala UI Semilight"/>
          <w:i/>
          <w:iCs/>
          <w:sz w:val="22"/>
          <w:szCs w:val="22"/>
        </w:rPr>
      </w:pPr>
      <w:r w:rsidRPr="00125008">
        <w:rPr>
          <w:rFonts w:ascii="Nirmala UI Semilight" w:eastAsia="Nirmala UI Semilight" w:hAnsi="Nirmala UI Semilight" w:cs="Nirmala UI Semilight"/>
          <w:i/>
          <w:iCs/>
          <w:sz w:val="22"/>
          <w:szCs w:val="22"/>
        </w:rPr>
        <w:t xml:space="preserve">A motion to approve </w:t>
      </w:r>
      <w:proofErr w:type="gramStart"/>
      <w:r w:rsidRPr="00125008">
        <w:rPr>
          <w:rFonts w:ascii="Nirmala UI Semilight" w:eastAsia="Nirmala UI Semilight" w:hAnsi="Nirmala UI Semilight" w:cs="Nirmala UI Semilight"/>
          <w:i/>
          <w:iCs/>
          <w:sz w:val="22"/>
          <w:szCs w:val="22"/>
        </w:rPr>
        <w:t xml:space="preserve">the </w:t>
      </w:r>
      <w:r>
        <w:rPr>
          <w:rFonts w:ascii="Nirmala UI Semilight" w:eastAsia="Nirmala UI Semilight" w:hAnsi="Nirmala UI Semilight" w:cs="Nirmala UI Semilight"/>
          <w:i/>
          <w:iCs/>
          <w:sz w:val="22"/>
          <w:szCs w:val="22"/>
        </w:rPr>
        <w:t>March</w:t>
      </w:r>
      <w:proofErr w:type="gramEnd"/>
      <w:r>
        <w:rPr>
          <w:rFonts w:ascii="Nirmala UI Semilight" w:eastAsia="Nirmala UI Semilight" w:hAnsi="Nirmala UI Semilight" w:cs="Nirmala UI Semilight"/>
          <w:i/>
          <w:iCs/>
          <w:sz w:val="22"/>
          <w:szCs w:val="22"/>
        </w:rPr>
        <w:t xml:space="preserve"> 13</w:t>
      </w:r>
      <w:r w:rsidRPr="00B60FEF">
        <w:rPr>
          <w:rFonts w:ascii="Nirmala UI Semilight" w:eastAsia="Nirmala UI Semilight" w:hAnsi="Nirmala UI Semilight" w:cs="Nirmala UI Semilight"/>
          <w:i/>
          <w:iCs/>
          <w:sz w:val="22"/>
          <w:szCs w:val="22"/>
          <w:vertAlign w:val="superscript"/>
        </w:rPr>
        <w:t>th</w:t>
      </w:r>
      <w:r>
        <w:rPr>
          <w:rFonts w:ascii="Nirmala UI Semilight" w:eastAsia="Nirmala UI Semilight" w:hAnsi="Nirmala UI Semilight" w:cs="Nirmala UI Semilight"/>
          <w:i/>
          <w:iCs/>
          <w:sz w:val="22"/>
          <w:szCs w:val="22"/>
        </w:rPr>
        <w:t xml:space="preserve">, 2025, </w:t>
      </w:r>
      <w:r w:rsidRPr="00125008">
        <w:rPr>
          <w:rFonts w:ascii="Nirmala UI Semilight" w:eastAsia="Nirmala UI Semilight" w:hAnsi="Nirmala UI Semilight" w:cs="Nirmala UI Semilight"/>
          <w:i/>
          <w:iCs/>
          <w:sz w:val="22"/>
          <w:szCs w:val="22"/>
        </w:rPr>
        <w:t xml:space="preserve">meeting minutes </w:t>
      </w:r>
      <w:proofErr w:type="gramStart"/>
      <w:r w:rsidRPr="00125008">
        <w:rPr>
          <w:rFonts w:ascii="Nirmala UI Semilight" w:eastAsia="Nirmala UI Semilight" w:hAnsi="Nirmala UI Semilight" w:cs="Nirmala UI Semilight"/>
          <w:i/>
          <w:iCs/>
          <w:sz w:val="22"/>
          <w:szCs w:val="22"/>
        </w:rPr>
        <w:t>was</w:t>
      </w:r>
      <w:proofErr w:type="gramEnd"/>
      <w:r w:rsidRPr="00125008">
        <w:rPr>
          <w:rFonts w:ascii="Nirmala UI Semilight" w:eastAsia="Nirmala UI Semilight" w:hAnsi="Nirmala UI Semilight" w:cs="Nirmala UI Semilight"/>
          <w:i/>
          <w:iCs/>
          <w:sz w:val="22"/>
          <w:szCs w:val="22"/>
        </w:rPr>
        <w:t xml:space="preserve"> made by Susan Ackerman and seconded by </w:t>
      </w:r>
      <w:r>
        <w:rPr>
          <w:rFonts w:ascii="Nirmala UI Semilight" w:eastAsia="Nirmala UI Semilight" w:hAnsi="Nirmala UI Semilight" w:cs="Nirmala UI Semilight"/>
          <w:i/>
          <w:iCs/>
          <w:sz w:val="22"/>
          <w:szCs w:val="22"/>
        </w:rPr>
        <w:t>Michelle Bertolino</w:t>
      </w:r>
      <w:r w:rsidRPr="00125008">
        <w:rPr>
          <w:rFonts w:ascii="Nirmala UI Semilight" w:eastAsia="Nirmala UI Semilight" w:hAnsi="Nirmala UI Semilight" w:cs="Nirmala UI Semilight"/>
          <w:i/>
          <w:iCs/>
          <w:sz w:val="22"/>
          <w:szCs w:val="22"/>
        </w:rPr>
        <w:t>. The motion passed unanimously.</w:t>
      </w:r>
    </w:p>
    <w:p w14:paraId="5AFA6016" w14:textId="77777777" w:rsidR="00AA4D78" w:rsidRPr="00125008" w:rsidRDefault="00AA4D78" w:rsidP="00AA4D78">
      <w:pPr>
        <w:spacing w:line="259" w:lineRule="auto"/>
        <w:rPr>
          <w:rFonts w:ascii="Nirmala UI Semilight" w:eastAsia="Nirmala UI Semilight" w:hAnsi="Nirmala UI Semilight" w:cs="Nirmala UI Semilight"/>
          <w:b/>
          <w:bCs/>
          <w:sz w:val="22"/>
          <w:szCs w:val="22"/>
        </w:rPr>
      </w:pPr>
    </w:p>
    <w:p w14:paraId="52451CE9" w14:textId="77777777" w:rsidR="00AA4D78" w:rsidRPr="00125008" w:rsidRDefault="00AA4D78" w:rsidP="00AA4D78">
      <w:pPr>
        <w:pStyle w:val="ListParagraph"/>
        <w:numPr>
          <w:ilvl w:val="0"/>
          <w:numId w:val="96"/>
        </w:numPr>
        <w:spacing w:after="0" w:line="259" w:lineRule="auto"/>
        <w:jc w:val="left"/>
        <w:rPr>
          <w:rFonts w:ascii="Nirmala UI Semilight" w:eastAsia="Nirmala UI Semilight" w:hAnsi="Nirmala UI Semilight" w:cs="Nirmala UI Semilight"/>
          <w:b/>
          <w:bCs/>
          <w:sz w:val="22"/>
          <w:szCs w:val="22"/>
        </w:rPr>
      </w:pPr>
      <w:r w:rsidRPr="00125008">
        <w:rPr>
          <w:rFonts w:ascii="Nirmala UI Semilight" w:eastAsia="Nirmala UI Semilight" w:hAnsi="Nirmala UI Semilight" w:cs="Nirmala UI Semilight"/>
          <w:b/>
          <w:bCs/>
          <w:sz w:val="22"/>
          <w:szCs w:val="22"/>
        </w:rPr>
        <w:t>Public Comment</w:t>
      </w:r>
    </w:p>
    <w:p w14:paraId="4072E638" w14:textId="77777777" w:rsidR="00AA4D78" w:rsidRPr="00125008" w:rsidRDefault="00AA4D78" w:rsidP="00AA4D78">
      <w:pPr>
        <w:pStyle w:val="ListParagraph"/>
        <w:spacing w:line="259" w:lineRule="auto"/>
        <w:rPr>
          <w:rFonts w:ascii="Nirmala UI Semilight" w:eastAsia="Nirmala UI Semilight" w:hAnsi="Nirmala UI Semilight" w:cs="Nirmala UI Semilight"/>
          <w:sz w:val="22"/>
          <w:szCs w:val="22"/>
        </w:rPr>
      </w:pPr>
      <w:r w:rsidRPr="00125008">
        <w:rPr>
          <w:rFonts w:ascii="Nirmala UI Semilight" w:eastAsia="Nirmala UI Semilight" w:hAnsi="Nirmala UI Semilight" w:cs="Nirmala UI Semilight"/>
          <w:sz w:val="22"/>
          <w:szCs w:val="22"/>
        </w:rPr>
        <w:t>Bill Drummond asked for any public comments. None were provided.</w:t>
      </w:r>
    </w:p>
    <w:p w14:paraId="12F6C870" w14:textId="77777777" w:rsidR="00AA4D78" w:rsidRPr="00125008" w:rsidRDefault="00AA4D78" w:rsidP="00AA4D78">
      <w:pPr>
        <w:spacing w:line="259" w:lineRule="auto"/>
        <w:rPr>
          <w:rFonts w:ascii="Nirmala UI Semilight" w:eastAsia="Nirmala UI Semilight" w:hAnsi="Nirmala UI Semilight" w:cs="Nirmala UI Semilight"/>
          <w:sz w:val="22"/>
          <w:szCs w:val="22"/>
        </w:rPr>
      </w:pPr>
    </w:p>
    <w:p w14:paraId="20743F37" w14:textId="77777777" w:rsidR="00AA4D78" w:rsidRPr="00125008" w:rsidRDefault="00AA4D78" w:rsidP="00AA4D78">
      <w:pPr>
        <w:pStyle w:val="ListParagraph"/>
        <w:numPr>
          <w:ilvl w:val="0"/>
          <w:numId w:val="96"/>
        </w:numPr>
        <w:spacing w:after="0" w:line="259" w:lineRule="auto"/>
        <w:jc w:val="left"/>
        <w:rPr>
          <w:rFonts w:ascii="Nirmala UI Semilight" w:eastAsia="Nirmala UI Semilight" w:hAnsi="Nirmala UI Semilight" w:cs="Nirmala UI Semilight"/>
          <w:b/>
          <w:bCs/>
          <w:sz w:val="22"/>
          <w:szCs w:val="22"/>
        </w:rPr>
      </w:pPr>
      <w:r w:rsidRPr="00125008">
        <w:rPr>
          <w:rFonts w:ascii="Nirmala UI Semilight" w:eastAsia="Nirmala UI Semilight" w:hAnsi="Nirmala UI Semilight" w:cs="Nirmala UI Semilight"/>
          <w:b/>
          <w:bCs/>
          <w:sz w:val="22"/>
          <w:szCs w:val="22"/>
        </w:rPr>
        <w:t>CEO Report</w:t>
      </w:r>
    </w:p>
    <w:p w14:paraId="26A9E23F" w14:textId="77777777" w:rsidR="00AA4D78" w:rsidRPr="00125008" w:rsidRDefault="00AA4D78" w:rsidP="00AA4D78">
      <w:pPr>
        <w:pStyle w:val="ListParagraph"/>
        <w:spacing w:line="259" w:lineRule="auto"/>
        <w:rPr>
          <w:rFonts w:ascii="Nirmala UI Semilight" w:eastAsia="Nirmala UI Semilight" w:hAnsi="Nirmala UI Semilight" w:cs="Nirmala UI Semilight"/>
          <w:sz w:val="22"/>
          <w:szCs w:val="22"/>
        </w:rPr>
      </w:pPr>
      <w:r w:rsidRPr="00125008">
        <w:rPr>
          <w:rFonts w:ascii="Nirmala UI Semilight" w:eastAsia="Nirmala UI Semilight" w:hAnsi="Nirmala UI Semilight" w:cs="Nirmala UI Semilight"/>
          <w:sz w:val="22"/>
          <w:szCs w:val="22"/>
        </w:rPr>
        <w:t>Sarah Edmonds reviewed the agenda for the day</w:t>
      </w:r>
      <w:r>
        <w:rPr>
          <w:rFonts w:ascii="Nirmala UI Semilight" w:eastAsia="Nirmala UI Semilight" w:hAnsi="Nirmala UI Semilight" w:cs="Nirmala UI Semilight"/>
          <w:sz w:val="22"/>
          <w:szCs w:val="22"/>
        </w:rPr>
        <w:t>, highlighting staffing additions to the WPP that have influenced the budget being approved and the change from fiscal year to calendar year. She also shared that Rebecca Sexton has been promoted to Chief Strategy Officer and welcomed new employee Justin Butler, Principal Operations Advisor.</w:t>
      </w:r>
    </w:p>
    <w:p w14:paraId="5E594661" w14:textId="77777777" w:rsidR="00AA4D78" w:rsidRPr="00125008" w:rsidRDefault="00AA4D78" w:rsidP="00AA4D78">
      <w:pPr>
        <w:pStyle w:val="ListParagraph"/>
        <w:spacing w:line="259" w:lineRule="auto"/>
        <w:rPr>
          <w:rFonts w:ascii="Nirmala UI Semilight" w:eastAsia="Nirmala UI Semilight" w:hAnsi="Nirmala UI Semilight" w:cs="Nirmala UI Semilight"/>
          <w:sz w:val="22"/>
          <w:szCs w:val="22"/>
        </w:rPr>
      </w:pPr>
    </w:p>
    <w:p w14:paraId="21EDD99F" w14:textId="77777777" w:rsidR="00AA4D78" w:rsidRPr="00125008" w:rsidRDefault="00AA4D78" w:rsidP="00AA4D78">
      <w:pPr>
        <w:pStyle w:val="ListParagraph"/>
        <w:numPr>
          <w:ilvl w:val="0"/>
          <w:numId w:val="96"/>
        </w:numPr>
        <w:spacing w:after="0" w:line="259" w:lineRule="auto"/>
        <w:jc w:val="left"/>
        <w:rPr>
          <w:rFonts w:ascii="Nirmala UI Semilight" w:eastAsia="Nirmala UI Semilight" w:hAnsi="Nirmala UI Semilight" w:cs="Nirmala UI Semilight"/>
          <w:b/>
          <w:bCs/>
          <w:sz w:val="22"/>
          <w:szCs w:val="22"/>
        </w:rPr>
      </w:pPr>
      <w:r w:rsidRPr="00125008">
        <w:rPr>
          <w:rFonts w:ascii="Nirmala UI Semilight" w:eastAsia="Nirmala UI Semilight" w:hAnsi="Nirmala UI Semilight" w:cs="Nirmala UI Semilight"/>
          <w:b/>
          <w:bCs/>
          <w:sz w:val="22"/>
          <w:szCs w:val="22"/>
        </w:rPr>
        <w:t>Financial Report</w:t>
      </w:r>
    </w:p>
    <w:p w14:paraId="3CC26F32" w14:textId="77777777" w:rsidR="00AA4D78" w:rsidRPr="00125008" w:rsidRDefault="00AA4D78" w:rsidP="00AA4D78">
      <w:pPr>
        <w:pStyle w:val="ListParagraph"/>
        <w:spacing w:line="259" w:lineRule="auto"/>
        <w:rPr>
          <w:rFonts w:ascii="Nirmala UI Semilight" w:eastAsia="Nirmala UI Semilight" w:hAnsi="Nirmala UI Semilight" w:cs="Nirmala UI Semilight"/>
          <w:sz w:val="22"/>
          <w:szCs w:val="22"/>
        </w:rPr>
      </w:pPr>
      <w:r w:rsidRPr="00125008">
        <w:rPr>
          <w:rFonts w:ascii="Nirmala UI Semilight" w:eastAsia="Nirmala UI Semilight" w:hAnsi="Nirmala UI Semilight" w:cs="Nirmala UI Semilight"/>
          <w:sz w:val="22"/>
          <w:szCs w:val="22"/>
        </w:rPr>
        <w:t xml:space="preserve">Michelle Bertolino reported that the </w:t>
      </w:r>
      <w:r>
        <w:rPr>
          <w:rFonts w:ascii="Nirmala UI Semilight" w:eastAsia="Nirmala UI Semilight" w:hAnsi="Nirmala UI Semilight" w:cs="Nirmala UI Semilight"/>
          <w:sz w:val="22"/>
          <w:szCs w:val="22"/>
        </w:rPr>
        <w:t>F</w:t>
      </w:r>
      <w:r w:rsidRPr="00125008">
        <w:rPr>
          <w:rFonts w:ascii="Nirmala UI Semilight" w:eastAsia="Nirmala UI Semilight" w:hAnsi="Nirmala UI Semilight" w:cs="Nirmala UI Semilight"/>
          <w:sz w:val="22"/>
          <w:szCs w:val="22"/>
        </w:rPr>
        <w:t xml:space="preserve">inance </w:t>
      </w:r>
      <w:r>
        <w:rPr>
          <w:rFonts w:ascii="Nirmala UI Semilight" w:eastAsia="Nirmala UI Semilight" w:hAnsi="Nirmala UI Semilight" w:cs="Nirmala UI Semilight"/>
          <w:sz w:val="22"/>
          <w:szCs w:val="22"/>
        </w:rPr>
        <w:t>C</w:t>
      </w:r>
      <w:r w:rsidRPr="00125008">
        <w:rPr>
          <w:rFonts w:ascii="Nirmala UI Semilight" w:eastAsia="Nirmala UI Semilight" w:hAnsi="Nirmala UI Semilight" w:cs="Nirmala UI Semilight"/>
          <w:sz w:val="22"/>
          <w:szCs w:val="22"/>
        </w:rPr>
        <w:t xml:space="preserve">ommittee met </w:t>
      </w:r>
      <w:r>
        <w:rPr>
          <w:rFonts w:ascii="Nirmala UI Semilight" w:eastAsia="Nirmala UI Semilight" w:hAnsi="Nirmala UI Semilight" w:cs="Nirmala UI Semilight"/>
          <w:sz w:val="22"/>
          <w:szCs w:val="22"/>
        </w:rPr>
        <w:t>three times since the last Board Meeting and had reviewed proposed budgets, monthly income statement, balance sheet, A/R aging reports and that those all looked good. She shared that they were updated on FERC filings, fiscal year to calendar year change, and WPP procedures and processes.</w:t>
      </w:r>
    </w:p>
    <w:p w14:paraId="0A30A11E" w14:textId="77777777" w:rsidR="00AA4D78" w:rsidRPr="00125008" w:rsidRDefault="00AA4D78" w:rsidP="00AA4D78">
      <w:pPr>
        <w:spacing w:line="259" w:lineRule="auto"/>
        <w:rPr>
          <w:rFonts w:ascii="Nirmala UI Semilight" w:eastAsia="Nirmala UI Semilight" w:hAnsi="Nirmala UI Semilight" w:cs="Nirmala UI Semilight"/>
          <w:b/>
          <w:bCs/>
          <w:sz w:val="22"/>
          <w:szCs w:val="22"/>
        </w:rPr>
      </w:pPr>
    </w:p>
    <w:p w14:paraId="06A1A81C" w14:textId="77777777" w:rsidR="00AA4D78" w:rsidRPr="00125008" w:rsidRDefault="00AA4D78" w:rsidP="00AA4D78">
      <w:pPr>
        <w:pStyle w:val="ListParagraph"/>
        <w:numPr>
          <w:ilvl w:val="0"/>
          <w:numId w:val="96"/>
        </w:numPr>
        <w:spacing w:after="0" w:line="259" w:lineRule="auto"/>
        <w:jc w:val="left"/>
        <w:rPr>
          <w:rFonts w:ascii="Nirmala UI Semilight" w:eastAsia="Nirmala UI Semilight" w:hAnsi="Nirmala UI Semilight" w:cs="Nirmala UI Semilight"/>
          <w:b/>
          <w:bCs/>
          <w:sz w:val="22"/>
          <w:szCs w:val="22"/>
        </w:rPr>
      </w:pPr>
      <w:r w:rsidRPr="00125008">
        <w:rPr>
          <w:rFonts w:ascii="Nirmala UI Semilight" w:eastAsia="Nirmala UI Semilight" w:hAnsi="Nirmala UI Semilight" w:cs="Nirmala UI Semilight"/>
          <w:b/>
          <w:bCs/>
          <w:sz w:val="22"/>
          <w:szCs w:val="22"/>
        </w:rPr>
        <w:t>WRAP Proposals</w:t>
      </w:r>
    </w:p>
    <w:p w14:paraId="02BAF418" w14:textId="77777777" w:rsidR="00AA4D78" w:rsidRPr="00125008" w:rsidRDefault="00AA4D78" w:rsidP="00AA4D78">
      <w:pPr>
        <w:pStyle w:val="ListParagraph"/>
        <w:numPr>
          <w:ilvl w:val="1"/>
          <w:numId w:val="96"/>
        </w:numPr>
        <w:spacing w:after="0" w:line="259" w:lineRule="auto"/>
        <w:jc w:val="left"/>
        <w:rPr>
          <w:rFonts w:ascii="Nirmala UI Semilight" w:eastAsia="Nirmala UI Semilight" w:hAnsi="Nirmala UI Semilight" w:cs="Nirmala UI Semilight"/>
          <w:b/>
          <w:bCs/>
          <w:sz w:val="22"/>
          <w:szCs w:val="22"/>
        </w:rPr>
      </w:pPr>
      <w:proofErr w:type="gramStart"/>
      <w:r>
        <w:rPr>
          <w:rFonts w:ascii="Nirmala UI Semilight" w:eastAsia="Nirmala UI Semilight" w:hAnsi="Nirmala UI Semilight" w:cs="Nirmala UI Semilight"/>
          <w:b/>
          <w:bCs/>
          <w:sz w:val="22"/>
          <w:szCs w:val="22"/>
        </w:rPr>
        <w:t>Approve</w:t>
      </w:r>
      <w:proofErr w:type="gramEnd"/>
      <w:r>
        <w:rPr>
          <w:rFonts w:ascii="Nirmala UI Semilight" w:eastAsia="Nirmala UI Semilight" w:hAnsi="Nirmala UI Semilight" w:cs="Nirmala UI Semilight"/>
          <w:b/>
          <w:bCs/>
          <w:sz w:val="22"/>
          <w:szCs w:val="22"/>
        </w:rPr>
        <w:t xml:space="preserve"> 2025/2026 PRC Workplan</w:t>
      </w:r>
    </w:p>
    <w:p w14:paraId="5932FFDA" w14:textId="77777777" w:rsidR="00AA4D78" w:rsidRDefault="00AA4D78" w:rsidP="00AA4D78">
      <w:pPr>
        <w:pStyle w:val="ListParagraph"/>
        <w:spacing w:line="259" w:lineRule="auto"/>
        <w:ind w:left="1440"/>
        <w:rPr>
          <w:rFonts w:ascii="Nirmala UI Semilight" w:eastAsia="Nirmala UI Semilight" w:hAnsi="Nirmala UI Semilight" w:cs="Nirmala UI Semilight"/>
          <w:sz w:val="22"/>
          <w:szCs w:val="22"/>
        </w:rPr>
      </w:pPr>
      <w:r w:rsidRPr="00125008">
        <w:rPr>
          <w:rFonts w:ascii="Nirmala UI Semilight" w:eastAsia="Nirmala UI Semilight" w:hAnsi="Nirmala UI Semilight" w:cs="Nirmala UI Semilight"/>
          <w:sz w:val="22"/>
          <w:szCs w:val="22"/>
        </w:rPr>
        <w:t xml:space="preserve">Rebecca Sexton </w:t>
      </w:r>
      <w:r>
        <w:rPr>
          <w:rFonts w:ascii="Nirmala UI Semilight" w:eastAsia="Nirmala UI Semilight" w:hAnsi="Nirmala UI Semilight" w:cs="Nirmala UI Semilight"/>
          <w:sz w:val="22"/>
          <w:szCs w:val="22"/>
        </w:rPr>
        <w:t xml:space="preserve">introduced Michael O’Brien who gave the presentation on the PRC Workplan. He summarized the workplan development process, the updated workplan schedule, and task force rosters. He also summarized in detail the four task </w:t>
      </w:r>
      <w:r>
        <w:rPr>
          <w:rFonts w:ascii="Nirmala UI Semilight" w:eastAsia="Nirmala UI Semilight" w:hAnsi="Nirmala UI Semilight" w:cs="Nirmala UI Semilight"/>
          <w:sz w:val="22"/>
          <w:szCs w:val="22"/>
        </w:rPr>
        <w:lastRenderedPageBreak/>
        <w:t xml:space="preserve">forces that were proposed for 2025, which included the Earlier FS Metrics, DAM Optimization, CAISO Firm Transmission, and Demand Response QCC. The Board had additional discussion around optimization of </w:t>
      </w:r>
      <w:proofErr w:type="gramStart"/>
      <w:r>
        <w:rPr>
          <w:rFonts w:ascii="Nirmala UI Semilight" w:eastAsia="Nirmala UI Semilight" w:hAnsi="Nirmala UI Semilight" w:cs="Nirmala UI Semilight"/>
          <w:sz w:val="22"/>
          <w:szCs w:val="22"/>
        </w:rPr>
        <w:t>day ahead</w:t>
      </w:r>
      <w:proofErr w:type="gramEnd"/>
      <w:r>
        <w:rPr>
          <w:rFonts w:ascii="Nirmala UI Semilight" w:eastAsia="Nirmala UI Semilight" w:hAnsi="Nirmala UI Semilight" w:cs="Nirmala UI Semilight"/>
          <w:sz w:val="22"/>
          <w:szCs w:val="22"/>
        </w:rPr>
        <w:t xml:space="preserve"> markets and the relationship </w:t>
      </w:r>
      <w:proofErr w:type="gramStart"/>
      <w:r>
        <w:rPr>
          <w:rFonts w:ascii="Nirmala UI Semilight" w:eastAsia="Nirmala UI Semilight" w:hAnsi="Nirmala UI Semilight" w:cs="Nirmala UI Semilight"/>
          <w:sz w:val="22"/>
          <w:szCs w:val="22"/>
        </w:rPr>
        <w:t>to</w:t>
      </w:r>
      <w:proofErr w:type="gramEnd"/>
      <w:r>
        <w:rPr>
          <w:rFonts w:ascii="Nirmala UI Semilight" w:eastAsia="Nirmala UI Semilight" w:hAnsi="Nirmala UI Semilight" w:cs="Nirmala UI Semilight"/>
          <w:sz w:val="22"/>
          <w:szCs w:val="22"/>
        </w:rPr>
        <w:t xml:space="preserve"> transmission limits. Michael O’Brien informed the board that they were being asked to approve the Workplan which would trigger implementation and proposal development. </w:t>
      </w:r>
    </w:p>
    <w:p w14:paraId="148E44D0" w14:textId="77777777" w:rsidR="00AA4D78" w:rsidRPr="00560870" w:rsidRDefault="00AA4D78" w:rsidP="00AA4D78">
      <w:pPr>
        <w:spacing w:line="259" w:lineRule="auto"/>
        <w:rPr>
          <w:rFonts w:ascii="Nirmala UI Semilight" w:eastAsia="Nirmala UI Semilight" w:hAnsi="Nirmala UI Semilight" w:cs="Nirmala UI Semilight"/>
          <w:sz w:val="22"/>
          <w:szCs w:val="22"/>
        </w:rPr>
      </w:pPr>
    </w:p>
    <w:p w14:paraId="30F29849" w14:textId="77777777" w:rsidR="00AA4D78" w:rsidRDefault="00AA4D78" w:rsidP="00AA4D78">
      <w:pPr>
        <w:spacing w:line="259" w:lineRule="auto"/>
        <w:ind w:left="2160"/>
        <w:rPr>
          <w:rFonts w:ascii="Nirmala UI Semilight" w:eastAsia="Nirmala UI Semilight" w:hAnsi="Nirmala UI Semilight" w:cs="Nirmala UI Semilight"/>
          <w:i/>
          <w:iCs/>
          <w:sz w:val="22"/>
          <w:szCs w:val="22"/>
        </w:rPr>
      </w:pPr>
      <w:r w:rsidRPr="00125008">
        <w:rPr>
          <w:rFonts w:ascii="Nirmala UI Semilight" w:eastAsia="Nirmala UI Semilight" w:hAnsi="Nirmala UI Semilight" w:cs="Nirmala UI Semilight"/>
          <w:i/>
          <w:iCs/>
          <w:sz w:val="22"/>
          <w:szCs w:val="22"/>
        </w:rPr>
        <w:t xml:space="preserve">A motion to approve the </w:t>
      </w:r>
      <w:r>
        <w:rPr>
          <w:rFonts w:ascii="Nirmala UI Semilight" w:eastAsia="Nirmala UI Semilight" w:hAnsi="Nirmala UI Semilight" w:cs="Nirmala UI Semilight"/>
          <w:i/>
          <w:iCs/>
          <w:sz w:val="22"/>
          <w:szCs w:val="22"/>
        </w:rPr>
        <w:t>2025/2026 WRAP Program Review Committee Workplan</w:t>
      </w:r>
      <w:r w:rsidRPr="00125008">
        <w:rPr>
          <w:rFonts w:ascii="Nirmala UI Semilight" w:eastAsia="Nirmala UI Semilight" w:hAnsi="Nirmala UI Semilight" w:cs="Nirmala UI Semilight"/>
          <w:i/>
          <w:iCs/>
          <w:sz w:val="22"/>
          <w:szCs w:val="22"/>
        </w:rPr>
        <w:t xml:space="preserve"> was made by </w:t>
      </w:r>
      <w:r>
        <w:rPr>
          <w:rFonts w:ascii="Nirmala UI Semilight" w:eastAsia="Nirmala UI Semilight" w:hAnsi="Nirmala UI Semilight" w:cs="Nirmala UI Semilight"/>
          <w:i/>
          <w:iCs/>
          <w:sz w:val="22"/>
          <w:szCs w:val="22"/>
        </w:rPr>
        <w:t>Andy Ott</w:t>
      </w:r>
      <w:r w:rsidRPr="00125008">
        <w:rPr>
          <w:rFonts w:ascii="Nirmala UI Semilight" w:eastAsia="Nirmala UI Semilight" w:hAnsi="Nirmala UI Semilight" w:cs="Nirmala UI Semilight"/>
          <w:i/>
          <w:iCs/>
          <w:sz w:val="22"/>
          <w:szCs w:val="22"/>
        </w:rPr>
        <w:t xml:space="preserve"> and seconded by Susan Ackerman. The motion passed unanimously.</w:t>
      </w:r>
    </w:p>
    <w:p w14:paraId="65C8EF40" w14:textId="77777777" w:rsidR="00AA4D78" w:rsidRDefault="00AA4D78" w:rsidP="00AA4D78">
      <w:pPr>
        <w:spacing w:line="259" w:lineRule="auto"/>
        <w:ind w:left="2160"/>
        <w:rPr>
          <w:rFonts w:ascii="Nirmala UI Semilight" w:eastAsia="Nirmala UI Semilight" w:hAnsi="Nirmala UI Semilight" w:cs="Nirmala UI Semilight"/>
          <w:i/>
          <w:iCs/>
          <w:sz w:val="22"/>
          <w:szCs w:val="22"/>
        </w:rPr>
      </w:pPr>
    </w:p>
    <w:p w14:paraId="688F5612" w14:textId="77777777" w:rsidR="00AA4D78" w:rsidRPr="00125008" w:rsidRDefault="00AA4D78" w:rsidP="00AA4D78">
      <w:pPr>
        <w:pStyle w:val="ListParagraph"/>
        <w:spacing w:line="259" w:lineRule="auto"/>
        <w:ind w:left="1440"/>
        <w:rPr>
          <w:rFonts w:ascii="Nirmala UI Semilight" w:eastAsia="Nirmala UI Semilight" w:hAnsi="Nirmala UI Semilight" w:cs="Nirmala UI Semilight"/>
          <w:sz w:val="22"/>
          <w:szCs w:val="22"/>
        </w:rPr>
      </w:pPr>
      <w:r>
        <w:rPr>
          <w:rFonts w:ascii="Nirmala UI Semilight" w:eastAsia="Nirmala UI Semilight" w:hAnsi="Nirmala UI Semilight" w:cs="Nirmala UI Semilight"/>
          <w:sz w:val="22"/>
          <w:szCs w:val="22"/>
        </w:rPr>
        <w:t>Rachel Dibble from BPA complimented the WPP staff on leading this process and expressed BPA’s support.</w:t>
      </w:r>
    </w:p>
    <w:p w14:paraId="5DE5D8FD" w14:textId="77777777" w:rsidR="00AA4D78" w:rsidRPr="00B60FEF" w:rsidRDefault="00AA4D78" w:rsidP="00AA4D78">
      <w:pPr>
        <w:spacing w:line="259" w:lineRule="auto"/>
        <w:rPr>
          <w:rFonts w:ascii="Nirmala UI Semilight" w:eastAsia="Nirmala UI Semilight" w:hAnsi="Nirmala UI Semilight" w:cs="Nirmala UI Semilight"/>
          <w:sz w:val="22"/>
          <w:szCs w:val="22"/>
        </w:rPr>
      </w:pPr>
    </w:p>
    <w:p w14:paraId="55C243B1" w14:textId="77777777" w:rsidR="00AA4D78" w:rsidRDefault="00AA4D78" w:rsidP="00AA4D78">
      <w:pPr>
        <w:pStyle w:val="ListParagraph"/>
        <w:numPr>
          <w:ilvl w:val="1"/>
          <w:numId w:val="96"/>
        </w:numPr>
        <w:spacing w:after="0" w:line="259" w:lineRule="auto"/>
        <w:jc w:val="left"/>
        <w:rPr>
          <w:rFonts w:ascii="Nirmala UI Semilight" w:eastAsia="Nirmala UI Semilight" w:hAnsi="Nirmala UI Semilight" w:cs="Nirmala UI Semilight"/>
          <w:b/>
          <w:bCs/>
          <w:sz w:val="22"/>
          <w:szCs w:val="22"/>
        </w:rPr>
      </w:pPr>
      <w:r>
        <w:rPr>
          <w:rFonts w:ascii="Nirmala UI Semilight" w:eastAsia="Nirmala UI Semilight" w:hAnsi="Nirmala UI Semilight" w:cs="Nirmala UI Semilight"/>
          <w:b/>
          <w:bCs/>
          <w:sz w:val="22"/>
          <w:szCs w:val="22"/>
        </w:rPr>
        <w:t>Review Winter 2026-2027, Winter 2029-2030 (advisory) Advanced Assessment Results Presentation</w:t>
      </w:r>
    </w:p>
    <w:p w14:paraId="18ABB8B7" w14:textId="77777777" w:rsidR="00AA4D78" w:rsidRPr="00125008" w:rsidRDefault="00AA4D78" w:rsidP="00AA4D78">
      <w:pPr>
        <w:pStyle w:val="ListParagraph"/>
        <w:spacing w:line="259" w:lineRule="auto"/>
        <w:ind w:left="1440"/>
        <w:rPr>
          <w:rFonts w:ascii="Nirmala UI Semilight" w:eastAsia="Nirmala UI Semilight" w:hAnsi="Nirmala UI Semilight" w:cs="Nirmala UI Semilight"/>
          <w:sz w:val="22"/>
          <w:szCs w:val="22"/>
        </w:rPr>
      </w:pPr>
      <w:r>
        <w:rPr>
          <w:rFonts w:ascii="Nirmala UI Semilight" w:eastAsia="Nirmala UI Semilight" w:hAnsi="Nirmala UI Semilight" w:cs="Nirmala UI Semilight"/>
          <w:sz w:val="22"/>
          <w:szCs w:val="22"/>
        </w:rPr>
        <w:t xml:space="preserve">Charles Hendrix from the Southwest Power Pool presented the Advanced Assessment Results, highlighting that approval was being sought of the planning reserve margin and that the presentation would include additional information on QCC values and effective load carrying capabilities. </w:t>
      </w:r>
    </w:p>
    <w:p w14:paraId="0EDA0F0A" w14:textId="77777777" w:rsidR="00AA4D78" w:rsidRPr="0084262D" w:rsidRDefault="00AA4D78" w:rsidP="00AA4D78">
      <w:pPr>
        <w:spacing w:line="259" w:lineRule="auto"/>
        <w:rPr>
          <w:rFonts w:ascii="Nirmala UI Semilight" w:eastAsia="Nirmala UI Semilight" w:hAnsi="Nirmala UI Semilight" w:cs="Nirmala UI Semilight"/>
          <w:b/>
          <w:bCs/>
          <w:sz w:val="22"/>
          <w:szCs w:val="22"/>
        </w:rPr>
      </w:pPr>
    </w:p>
    <w:p w14:paraId="5E7F9BD8" w14:textId="77777777" w:rsidR="00AA4D78" w:rsidRDefault="00AA4D78" w:rsidP="00AA4D78">
      <w:pPr>
        <w:pStyle w:val="ListParagraph"/>
        <w:numPr>
          <w:ilvl w:val="1"/>
          <w:numId w:val="96"/>
        </w:numPr>
        <w:spacing w:after="0" w:line="259" w:lineRule="auto"/>
        <w:jc w:val="left"/>
        <w:rPr>
          <w:rFonts w:ascii="Nirmala UI Semilight" w:eastAsia="Nirmala UI Semilight" w:hAnsi="Nirmala UI Semilight" w:cs="Nirmala UI Semilight"/>
          <w:b/>
          <w:bCs/>
          <w:sz w:val="22"/>
          <w:szCs w:val="22"/>
        </w:rPr>
      </w:pPr>
      <w:r>
        <w:rPr>
          <w:rFonts w:ascii="Nirmala UI Semilight" w:eastAsia="Nirmala UI Semilight" w:hAnsi="Nirmala UI Semilight" w:cs="Nirmala UI Semilight"/>
          <w:b/>
          <w:bCs/>
          <w:sz w:val="22"/>
          <w:szCs w:val="22"/>
        </w:rPr>
        <w:t>Approve Winter 2026-2027 Planning Reserve Margins Memo</w:t>
      </w:r>
    </w:p>
    <w:p w14:paraId="608A838F" w14:textId="77777777" w:rsidR="00AA4D78" w:rsidRPr="00125008" w:rsidRDefault="00AA4D78" w:rsidP="00AA4D78">
      <w:pPr>
        <w:pStyle w:val="ListParagraph"/>
        <w:spacing w:line="259" w:lineRule="auto"/>
        <w:ind w:left="1440"/>
        <w:rPr>
          <w:rFonts w:ascii="Nirmala UI Semilight" w:eastAsia="Nirmala UI Semilight" w:hAnsi="Nirmala UI Semilight" w:cs="Nirmala UI Semilight"/>
          <w:sz w:val="22"/>
          <w:szCs w:val="22"/>
        </w:rPr>
      </w:pPr>
      <w:r>
        <w:rPr>
          <w:rFonts w:ascii="Nirmala UI Semilight" w:eastAsia="Nirmala UI Semilight" w:hAnsi="Nirmala UI Semilight" w:cs="Nirmala UI Semilight"/>
          <w:sz w:val="22"/>
          <w:szCs w:val="22"/>
        </w:rPr>
        <w:t>Rebecca Sexton reviewed the Planning Reserve Margins Memo and noted that the Planning Reserve Margin presentation would be available on the WPP website.  She requested approval of PRMs presented by Charles Hendrix in the presentation.</w:t>
      </w:r>
    </w:p>
    <w:p w14:paraId="3CE5F9D6" w14:textId="77777777" w:rsidR="00AA4D78" w:rsidRPr="00127D5F" w:rsidRDefault="00AA4D78" w:rsidP="00AA4D78">
      <w:pPr>
        <w:pStyle w:val="ListParagraph"/>
        <w:spacing w:line="259" w:lineRule="auto"/>
        <w:ind w:left="1440"/>
        <w:rPr>
          <w:rFonts w:ascii="Nirmala UI Semilight" w:eastAsia="Nirmala UI Semilight" w:hAnsi="Nirmala UI Semilight" w:cs="Nirmala UI Semilight"/>
          <w:b/>
          <w:bCs/>
          <w:sz w:val="22"/>
          <w:szCs w:val="22"/>
        </w:rPr>
      </w:pPr>
    </w:p>
    <w:p w14:paraId="5DAE6E5E" w14:textId="77777777" w:rsidR="00AA4D78" w:rsidRDefault="00AA4D78" w:rsidP="00AA4D78">
      <w:pPr>
        <w:pStyle w:val="ListParagraph"/>
        <w:spacing w:line="259" w:lineRule="auto"/>
        <w:ind w:left="1440"/>
        <w:rPr>
          <w:rFonts w:ascii="Nirmala UI Semilight" w:eastAsia="Nirmala UI Semilight" w:hAnsi="Nirmala UI Semilight" w:cs="Nirmala UI Semilight"/>
          <w:i/>
          <w:iCs/>
          <w:sz w:val="22"/>
          <w:szCs w:val="22"/>
        </w:rPr>
      </w:pPr>
      <w:r w:rsidRPr="00127D5F">
        <w:rPr>
          <w:rFonts w:ascii="Nirmala UI Semilight" w:eastAsia="Nirmala UI Semilight" w:hAnsi="Nirmala UI Semilight" w:cs="Nirmala UI Semilight"/>
          <w:i/>
          <w:iCs/>
          <w:sz w:val="22"/>
          <w:szCs w:val="22"/>
        </w:rPr>
        <w:t xml:space="preserve">A motion to approve the Winter 2026-2027 Planning Reserve Margins was made by </w:t>
      </w:r>
      <w:r>
        <w:rPr>
          <w:rFonts w:ascii="Nirmala UI Semilight" w:eastAsia="Nirmala UI Semilight" w:hAnsi="Nirmala UI Semilight" w:cs="Nirmala UI Semilight"/>
          <w:i/>
          <w:iCs/>
          <w:sz w:val="22"/>
          <w:szCs w:val="22"/>
        </w:rPr>
        <w:t>Michelle Bertolino</w:t>
      </w:r>
      <w:r w:rsidRPr="00127D5F">
        <w:rPr>
          <w:rFonts w:ascii="Nirmala UI Semilight" w:eastAsia="Nirmala UI Semilight" w:hAnsi="Nirmala UI Semilight" w:cs="Nirmala UI Semilight"/>
          <w:i/>
          <w:iCs/>
          <w:sz w:val="22"/>
          <w:szCs w:val="22"/>
        </w:rPr>
        <w:t xml:space="preserve"> and seconded by Susan Ackerman. The motion passed unanimously.</w:t>
      </w:r>
    </w:p>
    <w:p w14:paraId="07CCEE02" w14:textId="77777777" w:rsidR="00AA4D78" w:rsidRPr="00127D5F" w:rsidRDefault="00AA4D78" w:rsidP="00AA4D78">
      <w:pPr>
        <w:spacing w:line="259" w:lineRule="auto"/>
        <w:rPr>
          <w:rFonts w:ascii="Nirmala UI Semilight" w:eastAsia="Nirmala UI Semilight" w:hAnsi="Nirmala UI Semilight" w:cs="Nirmala UI Semilight"/>
          <w:b/>
          <w:bCs/>
          <w:sz w:val="22"/>
          <w:szCs w:val="22"/>
        </w:rPr>
      </w:pPr>
    </w:p>
    <w:p w14:paraId="5BD37EBE" w14:textId="77777777" w:rsidR="00AA4D78" w:rsidRPr="00125008" w:rsidRDefault="00AA4D78" w:rsidP="00AA4D78">
      <w:pPr>
        <w:pStyle w:val="ListParagraph"/>
        <w:numPr>
          <w:ilvl w:val="1"/>
          <w:numId w:val="96"/>
        </w:numPr>
        <w:spacing w:after="0" w:line="259" w:lineRule="auto"/>
        <w:jc w:val="left"/>
        <w:rPr>
          <w:rFonts w:ascii="Nirmala UI Semilight" w:eastAsia="Nirmala UI Semilight" w:hAnsi="Nirmala UI Semilight" w:cs="Nirmala UI Semilight"/>
          <w:b/>
          <w:bCs/>
          <w:sz w:val="22"/>
          <w:szCs w:val="22"/>
        </w:rPr>
      </w:pPr>
      <w:proofErr w:type="gramStart"/>
      <w:r>
        <w:rPr>
          <w:rFonts w:ascii="Nirmala UI Semilight" w:eastAsia="Nirmala UI Semilight" w:hAnsi="Nirmala UI Semilight" w:cs="Nirmala UI Semilight"/>
          <w:b/>
          <w:bCs/>
          <w:sz w:val="22"/>
          <w:szCs w:val="22"/>
        </w:rPr>
        <w:t>Approve Authorization</w:t>
      </w:r>
      <w:proofErr w:type="gramEnd"/>
      <w:r>
        <w:rPr>
          <w:rFonts w:ascii="Nirmala UI Semilight" w:eastAsia="Nirmala UI Semilight" w:hAnsi="Nirmala UI Semilight" w:cs="Nirmala UI Semilight"/>
          <w:b/>
          <w:bCs/>
          <w:sz w:val="22"/>
          <w:szCs w:val="22"/>
        </w:rPr>
        <w:t xml:space="preserve"> to Renegotiate SPP Payment </w:t>
      </w:r>
    </w:p>
    <w:p w14:paraId="5BB22BD1" w14:textId="77777777" w:rsidR="00AA4D78" w:rsidRPr="00127D5F" w:rsidRDefault="00AA4D78" w:rsidP="00AA4D78">
      <w:pPr>
        <w:pStyle w:val="ListParagraph"/>
        <w:spacing w:line="259" w:lineRule="auto"/>
        <w:ind w:left="1440"/>
        <w:rPr>
          <w:rFonts w:ascii="Nirmala UI Semilight" w:eastAsia="Nirmala UI Semilight" w:hAnsi="Nirmala UI Semilight" w:cs="Nirmala UI Semilight"/>
          <w:sz w:val="22"/>
          <w:szCs w:val="22"/>
        </w:rPr>
      </w:pPr>
      <w:r>
        <w:rPr>
          <w:rFonts w:ascii="Nirmala UI Semilight" w:eastAsia="Nirmala UI Semilight" w:hAnsi="Nirmala UI Semilight" w:cs="Nirmala UI Semilight"/>
          <w:sz w:val="22"/>
          <w:szCs w:val="22"/>
        </w:rPr>
        <w:t xml:space="preserve">Rebecca Sexton reviewed the </w:t>
      </w:r>
      <w:r w:rsidRPr="00127D5F">
        <w:rPr>
          <w:rFonts w:ascii="Nirmala UI Semilight" w:eastAsia="Nirmala UI Semilight" w:hAnsi="Nirmala UI Semilight" w:cs="Nirmala UI Semilight"/>
          <w:sz w:val="22"/>
          <w:szCs w:val="22"/>
        </w:rPr>
        <w:t>Authorization to Renegotiate SPP Payment</w:t>
      </w:r>
      <w:r>
        <w:rPr>
          <w:rFonts w:ascii="Nirmala UI Semilight" w:eastAsia="Nirmala UI Semilight" w:hAnsi="Nirmala UI Semilight" w:cs="Nirmala UI Semilight"/>
          <w:sz w:val="22"/>
          <w:szCs w:val="22"/>
        </w:rPr>
        <w:t xml:space="preserve">, highlighting that this is an evergreen contract, that originally it was expected that costs would drop, but that it was deemed reasonable due to </w:t>
      </w:r>
      <w:proofErr w:type="gramStart"/>
      <w:r>
        <w:rPr>
          <w:rFonts w:ascii="Nirmala UI Semilight" w:eastAsia="Nirmala UI Semilight" w:hAnsi="Nirmala UI Semilight" w:cs="Nirmala UI Semilight"/>
          <w:sz w:val="22"/>
          <w:szCs w:val="22"/>
        </w:rPr>
        <w:t>needed changes</w:t>
      </w:r>
      <w:proofErr w:type="gramEnd"/>
      <w:r>
        <w:rPr>
          <w:rFonts w:ascii="Nirmala UI Semilight" w:eastAsia="Nirmala UI Semilight" w:hAnsi="Nirmala UI Semilight" w:cs="Nirmala UI Semilight"/>
          <w:sz w:val="22"/>
          <w:szCs w:val="22"/>
        </w:rPr>
        <w:t xml:space="preserve"> and upgrades to systems, as requested by participants, for the cost to increase. Lisa Hardie added that with the passage of the signature authority policy that the Board </w:t>
      </w:r>
      <w:r>
        <w:rPr>
          <w:rFonts w:ascii="Nirmala UI Semilight" w:eastAsia="Nirmala UI Semilight" w:hAnsi="Nirmala UI Semilight" w:cs="Nirmala UI Semilight"/>
          <w:sz w:val="22"/>
          <w:szCs w:val="22"/>
        </w:rPr>
        <w:lastRenderedPageBreak/>
        <w:t>recently approved that Board approval was required for this amount since it was above the limit set in the policy for staff approval.</w:t>
      </w:r>
    </w:p>
    <w:p w14:paraId="5D47E73C" w14:textId="77777777" w:rsidR="00AA4D78" w:rsidRPr="00125008" w:rsidRDefault="00AA4D78" w:rsidP="00AA4D78">
      <w:pPr>
        <w:spacing w:line="259" w:lineRule="auto"/>
        <w:rPr>
          <w:rFonts w:ascii="Nirmala UI Semilight" w:eastAsia="Nirmala UI Semilight" w:hAnsi="Nirmala UI Semilight" w:cs="Nirmala UI Semilight"/>
          <w:b/>
          <w:bCs/>
          <w:sz w:val="22"/>
          <w:szCs w:val="22"/>
        </w:rPr>
      </w:pPr>
    </w:p>
    <w:p w14:paraId="2A7EE1BC" w14:textId="77777777" w:rsidR="00AA4D78" w:rsidRDefault="00AA4D78" w:rsidP="00AA4D78">
      <w:pPr>
        <w:spacing w:line="259" w:lineRule="auto"/>
        <w:ind w:left="2160"/>
        <w:rPr>
          <w:rFonts w:ascii="Nirmala UI Semilight" w:eastAsia="Nirmala UI Semilight" w:hAnsi="Nirmala UI Semilight" w:cs="Nirmala UI Semilight"/>
          <w:i/>
          <w:iCs/>
          <w:sz w:val="22"/>
          <w:szCs w:val="22"/>
        </w:rPr>
      </w:pPr>
      <w:r w:rsidRPr="588EBB1D">
        <w:rPr>
          <w:rFonts w:ascii="Nirmala UI Semilight" w:eastAsia="Nirmala UI Semilight" w:hAnsi="Nirmala UI Semilight" w:cs="Nirmala UI Semilight"/>
          <w:i/>
          <w:iCs/>
          <w:sz w:val="22"/>
          <w:szCs w:val="22"/>
        </w:rPr>
        <w:t xml:space="preserve">A motion to approve the </w:t>
      </w:r>
      <w:r>
        <w:rPr>
          <w:rFonts w:ascii="Nirmala UI Semilight" w:eastAsia="Nirmala UI Semilight" w:hAnsi="Nirmala UI Semilight" w:cs="Nirmala UI Semilight"/>
          <w:i/>
          <w:iCs/>
          <w:sz w:val="22"/>
          <w:szCs w:val="22"/>
        </w:rPr>
        <w:t xml:space="preserve">Resolution to Modify Payment to WRAP Program Operator </w:t>
      </w:r>
      <w:r w:rsidRPr="588EBB1D">
        <w:rPr>
          <w:rFonts w:ascii="Nirmala UI Semilight" w:eastAsia="Nirmala UI Semilight" w:hAnsi="Nirmala UI Semilight" w:cs="Nirmala UI Semilight"/>
          <w:i/>
          <w:iCs/>
          <w:sz w:val="22"/>
          <w:szCs w:val="22"/>
        </w:rPr>
        <w:t>was made by Susan Ackerman and seconded by Andy Ott. The motion passed unanimously.</w:t>
      </w:r>
    </w:p>
    <w:p w14:paraId="60A6A337" w14:textId="77777777" w:rsidR="00AA4D78" w:rsidRDefault="00AA4D78" w:rsidP="00AA4D78">
      <w:pPr>
        <w:spacing w:line="259" w:lineRule="auto"/>
        <w:ind w:left="2160"/>
        <w:rPr>
          <w:rFonts w:ascii="Nirmala UI Semilight" w:eastAsia="Nirmala UI Semilight" w:hAnsi="Nirmala UI Semilight" w:cs="Nirmala UI Semilight"/>
          <w:i/>
          <w:iCs/>
          <w:sz w:val="22"/>
          <w:szCs w:val="22"/>
        </w:rPr>
      </w:pPr>
    </w:p>
    <w:p w14:paraId="73D05E7A" w14:textId="77777777" w:rsidR="00AA4D78" w:rsidRPr="00C8595A" w:rsidRDefault="00AA4D78" w:rsidP="00AA4D78">
      <w:pPr>
        <w:spacing w:line="259" w:lineRule="auto"/>
        <w:ind w:left="1440"/>
        <w:rPr>
          <w:rFonts w:ascii="Nirmala UI Semilight" w:eastAsia="Nirmala UI Semilight" w:hAnsi="Nirmala UI Semilight" w:cs="Nirmala UI Semilight"/>
          <w:sz w:val="22"/>
          <w:szCs w:val="22"/>
        </w:rPr>
      </w:pPr>
      <w:r w:rsidRPr="00C8595A">
        <w:rPr>
          <w:rFonts w:ascii="Nirmala UI Semilight" w:eastAsia="Nirmala UI Semilight" w:hAnsi="Nirmala UI Semilight" w:cs="Nirmala UI Semilight"/>
          <w:sz w:val="22"/>
          <w:szCs w:val="22"/>
        </w:rPr>
        <w:t xml:space="preserve">Steve Bellcoff from BPA </w:t>
      </w:r>
      <w:r>
        <w:rPr>
          <w:rFonts w:ascii="Nirmala UI Semilight" w:eastAsia="Nirmala UI Semilight" w:hAnsi="Nirmala UI Semilight" w:cs="Nirmala UI Semilight"/>
          <w:sz w:val="22"/>
          <w:szCs w:val="22"/>
        </w:rPr>
        <w:t>confirmed that participant requests for changes and upgrades were being made, including those from the BPA.</w:t>
      </w:r>
    </w:p>
    <w:p w14:paraId="1BC564EF" w14:textId="77777777" w:rsidR="00AA4D78" w:rsidRPr="00125008" w:rsidRDefault="00AA4D78" w:rsidP="00AA4D78">
      <w:pPr>
        <w:spacing w:line="259" w:lineRule="auto"/>
        <w:ind w:left="1440"/>
        <w:rPr>
          <w:rFonts w:ascii="Nirmala UI Semilight" w:eastAsia="Nirmala UI Semilight" w:hAnsi="Nirmala UI Semilight" w:cs="Nirmala UI Semilight"/>
          <w:i/>
          <w:iCs/>
          <w:sz w:val="22"/>
          <w:szCs w:val="22"/>
        </w:rPr>
      </w:pPr>
    </w:p>
    <w:p w14:paraId="7EBDECFA" w14:textId="77777777" w:rsidR="00AA4D78" w:rsidRPr="00125008" w:rsidRDefault="00AA4D78" w:rsidP="00AA4D78">
      <w:pPr>
        <w:pStyle w:val="ListParagraph"/>
        <w:numPr>
          <w:ilvl w:val="0"/>
          <w:numId w:val="96"/>
        </w:numPr>
        <w:spacing w:after="0" w:line="259" w:lineRule="auto"/>
        <w:jc w:val="left"/>
        <w:rPr>
          <w:rFonts w:ascii="Nirmala UI Semilight" w:eastAsia="Nirmala UI Semilight" w:hAnsi="Nirmala UI Semilight" w:cs="Nirmala UI Semilight"/>
          <w:b/>
          <w:bCs/>
          <w:sz w:val="22"/>
          <w:szCs w:val="22"/>
        </w:rPr>
      </w:pPr>
      <w:r>
        <w:rPr>
          <w:rFonts w:ascii="Nirmala UI Semilight" w:eastAsia="Nirmala UI Semilight" w:hAnsi="Nirmala UI Semilight" w:cs="Nirmala UI Semilight"/>
          <w:b/>
          <w:bCs/>
          <w:sz w:val="22"/>
          <w:szCs w:val="22"/>
        </w:rPr>
        <w:t>Finance</w:t>
      </w:r>
    </w:p>
    <w:p w14:paraId="57392FF3" w14:textId="77777777" w:rsidR="00AA4D78" w:rsidRPr="00125008" w:rsidRDefault="00AA4D78" w:rsidP="00AA4D78">
      <w:pPr>
        <w:pStyle w:val="ListParagraph"/>
        <w:numPr>
          <w:ilvl w:val="1"/>
          <w:numId w:val="96"/>
        </w:numPr>
        <w:spacing w:after="0" w:line="259" w:lineRule="auto"/>
        <w:jc w:val="left"/>
        <w:rPr>
          <w:rFonts w:ascii="Nirmala UI Semilight" w:eastAsia="Nirmala UI Semilight" w:hAnsi="Nirmala UI Semilight" w:cs="Nirmala UI Semilight"/>
          <w:b/>
          <w:bCs/>
          <w:sz w:val="22"/>
          <w:szCs w:val="22"/>
        </w:rPr>
      </w:pPr>
      <w:r>
        <w:rPr>
          <w:rFonts w:ascii="Nirmala UI Semilight" w:eastAsia="Nirmala UI Semilight" w:hAnsi="Nirmala UI Semilight" w:cs="Nirmala UI Semilight"/>
          <w:b/>
          <w:bCs/>
          <w:sz w:val="22"/>
          <w:szCs w:val="22"/>
        </w:rPr>
        <w:t>Approve WPP Budget</w:t>
      </w:r>
    </w:p>
    <w:p w14:paraId="47F1644E" w14:textId="77777777" w:rsidR="00AA4D78" w:rsidRPr="00125008" w:rsidRDefault="00AA4D78" w:rsidP="00AA4D78">
      <w:pPr>
        <w:pStyle w:val="ListParagraph"/>
        <w:spacing w:line="259" w:lineRule="auto"/>
        <w:ind w:left="1440"/>
        <w:rPr>
          <w:rFonts w:ascii="Nirmala UI Semilight" w:eastAsia="Nirmala UI Semilight" w:hAnsi="Nirmala UI Semilight" w:cs="Nirmala UI Semilight"/>
          <w:sz w:val="22"/>
          <w:szCs w:val="22"/>
        </w:rPr>
      </w:pPr>
      <w:r>
        <w:rPr>
          <w:rFonts w:ascii="Nirmala UI Semilight" w:eastAsia="Nirmala UI Semilight" w:hAnsi="Nirmala UI Semilight" w:cs="Nirmala UI Semilight"/>
          <w:sz w:val="22"/>
          <w:szCs w:val="22"/>
        </w:rPr>
        <w:t xml:space="preserve">Rebecca Sexton presented the proposed WPP Budget, noting that WPP is transitioning from the fiscal to the calendar year and for that reason this is an 18-month budget. She reviewed the budget assumptions, noting that there are no significant increases in O&amp;M budgets and that there was a total 4.3% increase relative to the budget approved by the Board in December of 2024. Ryan Roy noted that this budget had been presented to WPP program committees and had been unanimously approved. </w:t>
      </w:r>
    </w:p>
    <w:p w14:paraId="12A1D4D0" w14:textId="77777777" w:rsidR="00AA4D78" w:rsidRPr="00125008" w:rsidRDefault="00AA4D78" w:rsidP="00AA4D78">
      <w:pPr>
        <w:pStyle w:val="ListParagraph"/>
        <w:spacing w:line="259" w:lineRule="auto"/>
        <w:ind w:left="1440"/>
        <w:rPr>
          <w:rFonts w:ascii="Nirmala UI Semilight" w:eastAsia="Nirmala UI Semilight" w:hAnsi="Nirmala UI Semilight" w:cs="Nirmala UI Semilight"/>
          <w:sz w:val="22"/>
          <w:szCs w:val="22"/>
        </w:rPr>
      </w:pPr>
    </w:p>
    <w:p w14:paraId="656DE62F" w14:textId="77777777" w:rsidR="00AA4D78" w:rsidRDefault="00AA4D78" w:rsidP="00AA4D78">
      <w:pPr>
        <w:pStyle w:val="ListParagraph"/>
        <w:spacing w:line="259" w:lineRule="auto"/>
        <w:ind w:left="2160"/>
        <w:rPr>
          <w:rFonts w:ascii="Nirmala UI Semilight" w:eastAsia="Nirmala UI Semilight" w:hAnsi="Nirmala UI Semilight" w:cs="Nirmala UI Semilight"/>
          <w:i/>
          <w:iCs/>
          <w:sz w:val="22"/>
          <w:szCs w:val="22"/>
        </w:rPr>
      </w:pPr>
      <w:r w:rsidRPr="00125008">
        <w:rPr>
          <w:rFonts w:ascii="Nirmala UI Semilight" w:eastAsia="Nirmala UI Semilight" w:hAnsi="Nirmala UI Semilight" w:cs="Nirmala UI Semilight"/>
          <w:i/>
          <w:iCs/>
          <w:sz w:val="22"/>
          <w:szCs w:val="22"/>
        </w:rPr>
        <w:t xml:space="preserve">A motion to approve the </w:t>
      </w:r>
      <w:r>
        <w:rPr>
          <w:rFonts w:ascii="Nirmala UI Semilight" w:eastAsia="Nirmala UI Semilight" w:hAnsi="Nirmala UI Semilight" w:cs="Nirmala UI Semilight"/>
          <w:i/>
          <w:iCs/>
          <w:sz w:val="22"/>
          <w:szCs w:val="22"/>
        </w:rPr>
        <w:t>2025-2026 WPP Budget</w:t>
      </w:r>
      <w:r w:rsidRPr="00125008">
        <w:rPr>
          <w:rFonts w:ascii="Nirmala UI Semilight" w:eastAsia="Nirmala UI Semilight" w:hAnsi="Nirmala UI Semilight" w:cs="Nirmala UI Semilight"/>
          <w:i/>
          <w:iCs/>
          <w:sz w:val="22"/>
          <w:szCs w:val="22"/>
        </w:rPr>
        <w:t xml:space="preserve"> was made by </w:t>
      </w:r>
      <w:r>
        <w:rPr>
          <w:rFonts w:ascii="Nirmala UI Semilight" w:eastAsia="Nirmala UI Semilight" w:hAnsi="Nirmala UI Semilight" w:cs="Nirmala UI Semilight"/>
          <w:i/>
          <w:iCs/>
          <w:sz w:val="22"/>
          <w:szCs w:val="22"/>
        </w:rPr>
        <w:t>Michelle Bertolino</w:t>
      </w:r>
      <w:r w:rsidRPr="00125008">
        <w:rPr>
          <w:rFonts w:ascii="Nirmala UI Semilight" w:eastAsia="Nirmala UI Semilight" w:hAnsi="Nirmala UI Semilight" w:cs="Nirmala UI Semilight"/>
          <w:i/>
          <w:iCs/>
          <w:sz w:val="22"/>
          <w:szCs w:val="22"/>
        </w:rPr>
        <w:t xml:space="preserve"> and seconded by </w:t>
      </w:r>
      <w:r>
        <w:rPr>
          <w:rFonts w:ascii="Nirmala UI Semilight" w:eastAsia="Nirmala UI Semilight" w:hAnsi="Nirmala UI Semilight" w:cs="Nirmala UI Semilight"/>
          <w:i/>
          <w:iCs/>
          <w:sz w:val="22"/>
          <w:szCs w:val="22"/>
        </w:rPr>
        <w:t>Andy Ott</w:t>
      </w:r>
      <w:r w:rsidRPr="00125008">
        <w:rPr>
          <w:rFonts w:ascii="Nirmala UI Semilight" w:eastAsia="Nirmala UI Semilight" w:hAnsi="Nirmala UI Semilight" w:cs="Nirmala UI Semilight"/>
          <w:i/>
          <w:iCs/>
          <w:sz w:val="22"/>
          <w:szCs w:val="22"/>
        </w:rPr>
        <w:t>. The motion passed unanimously.</w:t>
      </w:r>
    </w:p>
    <w:p w14:paraId="442482DF" w14:textId="77777777" w:rsidR="00AA4D78" w:rsidRDefault="00AA4D78" w:rsidP="00AA4D78">
      <w:pPr>
        <w:pStyle w:val="ListParagraph"/>
        <w:spacing w:line="259" w:lineRule="auto"/>
        <w:ind w:left="2160"/>
        <w:rPr>
          <w:rFonts w:ascii="Nirmala UI Semilight" w:eastAsia="Nirmala UI Semilight" w:hAnsi="Nirmala UI Semilight" w:cs="Nirmala UI Semilight"/>
          <w:i/>
          <w:iCs/>
          <w:sz w:val="22"/>
          <w:szCs w:val="22"/>
        </w:rPr>
      </w:pPr>
    </w:p>
    <w:p w14:paraId="47BD9122" w14:textId="77777777" w:rsidR="00AA4D78" w:rsidRPr="007E5883" w:rsidRDefault="00AA4D78" w:rsidP="00AA4D78">
      <w:pPr>
        <w:pStyle w:val="ListParagraph"/>
        <w:spacing w:line="259" w:lineRule="auto"/>
        <w:ind w:left="1440"/>
        <w:rPr>
          <w:rFonts w:ascii="Nirmala UI Semilight" w:eastAsia="Nirmala UI Semilight" w:hAnsi="Nirmala UI Semilight" w:cs="Nirmala UI Semilight"/>
          <w:sz w:val="22"/>
          <w:szCs w:val="22"/>
        </w:rPr>
      </w:pPr>
      <w:r w:rsidRPr="007E5883">
        <w:rPr>
          <w:rFonts w:ascii="Nirmala UI Semilight" w:eastAsia="Nirmala UI Semilight" w:hAnsi="Nirmala UI Semilight" w:cs="Nirmala UI Semilight"/>
          <w:sz w:val="22"/>
          <w:szCs w:val="22"/>
        </w:rPr>
        <w:t xml:space="preserve">Michelle Bertolino thanked the staff for their work on this budget, noting that it is not an easy process during this fiscal year </w:t>
      </w:r>
      <w:proofErr w:type="gramStart"/>
      <w:r w:rsidRPr="007E5883">
        <w:rPr>
          <w:rFonts w:ascii="Nirmala UI Semilight" w:eastAsia="Nirmala UI Semilight" w:hAnsi="Nirmala UI Semilight" w:cs="Nirmala UI Semilight"/>
          <w:sz w:val="22"/>
          <w:szCs w:val="22"/>
        </w:rPr>
        <w:t>to calendar</w:t>
      </w:r>
      <w:proofErr w:type="gramEnd"/>
      <w:r w:rsidRPr="007E5883">
        <w:rPr>
          <w:rFonts w:ascii="Nirmala UI Semilight" w:eastAsia="Nirmala UI Semilight" w:hAnsi="Nirmala UI Semilight" w:cs="Nirmala UI Semilight"/>
          <w:sz w:val="22"/>
          <w:szCs w:val="22"/>
        </w:rPr>
        <w:t xml:space="preserve"> year change.</w:t>
      </w:r>
      <w:r>
        <w:rPr>
          <w:rFonts w:ascii="Nirmala UI Semilight" w:eastAsia="Nirmala UI Semilight" w:hAnsi="Nirmala UI Semilight" w:cs="Nirmala UI Semilight"/>
          <w:sz w:val="22"/>
          <w:szCs w:val="22"/>
        </w:rPr>
        <w:t xml:space="preserve"> Bill Drummond asked for any additional comments from the audience.  There were no additional comments.</w:t>
      </w:r>
    </w:p>
    <w:p w14:paraId="4E75A350" w14:textId="77777777" w:rsidR="00AA4D78" w:rsidRPr="00125008" w:rsidRDefault="00AA4D78" w:rsidP="00AA4D78">
      <w:pPr>
        <w:pStyle w:val="ListParagraph"/>
        <w:spacing w:line="259" w:lineRule="auto"/>
        <w:ind w:left="2160"/>
        <w:rPr>
          <w:rFonts w:ascii="Nirmala UI Semilight" w:eastAsia="Nirmala UI Semilight" w:hAnsi="Nirmala UI Semilight" w:cs="Nirmala UI Semilight"/>
          <w:i/>
          <w:iCs/>
          <w:sz w:val="22"/>
          <w:szCs w:val="22"/>
        </w:rPr>
      </w:pPr>
    </w:p>
    <w:p w14:paraId="1207055D" w14:textId="77777777" w:rsidR="00AA4D78" w:rsidRPr="00125008" w:rsidRDefault="00AA4D78" w:rsidP="00AA4D78">
      <w:pPr>
        <w:pStyle w:val="ListParagraph"/>
        <w:numPr>
          <w:ilvl w:val="0"/>
          <w:numId w:val="96"/>
        </w:numPr>
        <w:spacing w:after="0" w:line="259" w:lineRule="auto"/>
        <w:jc w:val="left"/>
        <w:rPr>
          <w:rFonts w:ascii="Nirmala UI Semilight" w:eastAsia="Nirmala UI Semilight" w:hAnsi="Nirmala UI Semilight" w:cs="Nirmala UI Semilight"/>
          <w:b/>
          <w:bCs/>
          <w:sz w:val="22"/>
          <w:szCs w:val="22"/>
        </w:rPr>
      </w:pPr>
      <w:r w:rsidRPr="00125008">
        <w:rPr>
          <w:rFonts w:ascii="Nirmala UI Semilight" w:eastAsia="Nirmala UI Semilight" w:hAnsi="Nirmala UI Semilight" w:cs="Nirmala UI Semilight"/>
          <w:b/>
          <w:bCs/>
          <w:sz w:val="22"/>
          <w:szCs w:val="22"/>
        </w:rPr>
        <w:t>Governance</w:t>
      </w:r>
    </w:p>
    <w:p w14:paraId="32657756" w14:textId="77777777" w:rsidR="00AA4D78" w:rsidRPr="00125008" w:rsidRDefault="00AA4D78" w:rsidP="00AA4D78">
      <w:pPr>
        <w:pStyle w:val="ListParagraph"/>
        <w:numPr>
          <w:ilvl w:val="1"/>
          <w:numId w:val="96"/>
        </w:numPr>
        <w:spacing w:after="0" w:line="259" w:lineRule="auto"/>
        <w:jc w:val="left"/>
        <w:rPr>
          <w:rFonts w:ascii="Nirmala UI Semilight" w:eastAsia="Nirmala UI Semilight" w:hAnsi="Nirmala UI Semilight" w:cs="Nirmala UI Semilight"/>
          <w:b/>
          <w:bCs/>
          <w:sz w:val="22"/>
          <w:szCs w:val="22"/>
        </w:rPr>
      </w:pPr>
      <w:proofErr w:type="gramStart"/>
      <w:r>
        <w:rPr>
          <w:rFonts w:ascii="Nirmala UI Semilight" w:eastAsia="Nirmala UI Semilight" w:hAnsi="Nirmala UI Semilight" w:cs="Nirmala UI Semilight"/>
          <w:b/>
          <w:bCs/>
          <w:sz w:val="22"/>
          <w:szCs w:val="22"/>
        </w:rPr>
        <w:t>Approve</w:t>
      </w:r>
      <w:proofErr w:type="gramEnd"/>
      <w:r>
        <w:rPr>
          <w:rFonts w:ascii="Nirmala UI Semilight" w:eastAsia="Nirmala UI Semilight" w:hAnsi="Nirmala UI Semilight" w:cs="Nirmala UI Semilight"/>
          <w:b/>
          <w:bCs/>
          <w:sz w:val="22"/>
          <w:szCs w:val="22"/>
        </w:rPr>
        <w:t xml:space="preserve"> Corporate Compliance Policy</w:t>
      </w:r>
    </w:p>
    <w:p w14:paraId="799FDAB5" w14:textId="77777777" w:rsidR="00AA4D78" w:rsidRPr="00125008" w:rsidRDefault="00AA4D78" w:rsidP="00AA4D78">
      <w:pPr>
        <w:pStyle w:val="ListParagraph"/>
        <w:spacing w:line="259" w:lineRule="auto"/>
        <w:ind w:left="1440"/>
        <w:rPr>
          <w:rFonts w:ascii="Nirmala UI Semilight" w:eastAsia="Nirmala UI Semilight" w:hAnsi="Nirmala UI Semilight" w:cs="Nirmala UI Semilight"/>
          <w:sz w:val="22"/>
          <w:szCs w:val="22"/>
        </w:rPr>
      </w:pPr>
      <w:r>
        <w:rPr>
          <w:rFonts w:ascii="Nirmala UI Semilight" w:eastAsia="Nirmala UI Semilight" w:hAnsi="Nirmala UI Semilight" w:cs="Nirmala UI Semilight"/>
          <w:sz w:val="22"/>
          <w:szCs w:val="22"/>
        </w:rPr>
        <w:t xml:space="preserve">Lisa Hardie reviewed the Corporate Compliance Policy, noting that historically this type of compliance took place at the program level and that this policy was </w:t>
      </w:r>
      <w:proofErr w:type="gramStart"/>
      <w:r>
        <w:rPr>
          <w:rFonts w:ascii="Nirmala UI Semilight" w:eastAsia="Nirmala UI Semilight" w:hAnsi="Nirmala UI Semilight" w:cs="Nirmala UI Semilight"/>
          <w:sz w:val="22"/>
          <w:szCs w:val="22"/>
        </w:rPr>
        <w:t>intending</w:t>
      </w:r>
      <w:proofErr w:type="gramEnd"/>
      <w:r>
        <w:rPr>
          <w:rFonts w:ascii="Nirmala UI Semilight" w:eastAsia="Nirmala UI Semilight" w:hAnsi="Nirmala UI Semilight" w:cs="Nirmala UI Semilight"/>
          <w:sz w:val="22"/>
          <w:szCs w:val="22"/>
        </w:rPr>
        <w:t xml:space="preserve"> to memorialize compliance at a corporate level.  </w:t>
      </w:r>
    </w:p>
    <w:p w14:paraId="04964200" w14:textId="77777777" w:rsidR="00AA4D78" w:rsidRPr="00125008" w:rsidRDefault="00AA4D78" w:rsidP="00AA4D78">
      <w:pPr>
        <w:pStyle w:val="ListParagraph"/>
        <w:spacing w:line="259" w:lineRule="auto"/>
        <w:ind w:left="1440"/>
        <w:rPr>
          <w:rFonts w:ascii="Nirmala UI Semilight" w:eastAsia="Nirmala UI Semilight" w:hAnsi="Nirmala UI Semilight" w:cs="Nirmala UI Semilight"/>
          <w:sz w:val="22"/>
          <w:szCs w:val="22"/>
        </w:rPr>
      </w:pPr>
    </w:p>
    <w:p w14:paraId="136EB160" w14:textId="77777777" w:rsidR="00AA4D78" w:rsidRPr="00125008" w:rsidRDefault="00AA4D78" w:rsidP="00AA4D78">
      <w:pPr>
        <w:pStyle w:val="ListParagraph"/>
        <w:spacing w:line="259" w:lineRule="auto"/>
        <w:ind w:left="2160"/>
        <w:rPr>
          <w:rFonts w:ascii="Nirmala UI Semilight" w:eastAsia="Nirmala UI Semilight" w:hAnsi="Nirmala UI Semilight" w:cs="Nirmala UI Semilight"/>
          <w:i/>
          <w:iCs/>
          <w:sz w:val="22"/>
          <w:szCs w:val="22"/>
        </w:rPr>
      </w:pPr>
      <w:r w:rsidRPr="00125008">
        <w:rPr>
          <w:rFonts w:ascii="Nirmala UI Semilight" w:eastAsia="Nirmala UI Semilight" w:hAnsi="Nirmala UI Semilight" w:cs="Nirmala UI Semilight"/>
          <w:i/>
          <w:iCs/>
          <w:sz w:val="22"/>
          <w:szCs w:val="22"/>
        </w:rPr>
        <w:t xml:space="preserve">A motion to approve the </w:t>
      </w:r>
      <w:r>
        <w:rPr>
          <w:rFonts w:ascii="Nirmala UI Semilight" w:eastAsia="Nirmala UI Semilight" w:hAnsi="Nirmala UI Semilight" w:cs="Nirmala UI Semilight"/>
          <w:i/>
          <w:iCs/>
          <w:sz w:val="22"/>
          <w:szCs w:val="22"/>
        </w:rPr>
        <w:t>Corporate Compliance Policy</w:t>
      </w:r>
      <w:r w:rsidRPr="00125008">
        <w:rPr>
          <w:rFonts w:ascii="Nirmala UI Semilight" w:eastAsia="Nirmala UI Semilight" w:hAnsi="Nirmala UI Semilight" w:cs="Nirmala UI Semilight"/>
          <w:i/>
          <w:iCs/>
          <w:sz w:val="22"/>
          <w:szCs w:val="22"/>
        </w:rPr>
        <w:t xml:space="preserve"> was made by </w:t>
      </w:r>
      <w:r>
        <w:rPr>
          <w:rFonts w:ascii="Nirmala UI Semilight" w:eastAsia="Nirmala UI Semilight" w:hAnsi="Nirmala UI Semilight" w:cs="Nirmala UI Semilight"/>
          <w:i/>
          <w:iCs/>
          <w:sz w:val="22"/>
          <w:szCs w:val="22"/>
        </w:rPr>
        <w:t>Andy Ott</w:t>
      </w:r>
      <w:r w:rsidRPr="00125008">
        <w:rPr>
          <w:rFonts w:ascii="Nirmala UI Semilight" w:eastAsia="Nirmala UI Semilight" w:hAnsi="Nirmala UI Semilight" w:cs="Nirmala UI Semilight"/>
          <w:i/>
          <w:iCs/>
          <w:sz w:val="22"/>
          <w:szCs w:val="22"/>
        </w:rPr>
        <w:t xml:space="preserve"> and seconded by </w:t>
      </w:r>
      <w:r>
        <w:rPr>
          <w:rFonts w:ascii="Nirmala UI Semilight" w:eastAsia="Nirmala UI Semilight" w:hAnsi="Nirmala UI Semilight" w:cs="Nirmala UI Semilight"/>
          <w:i/>
          <w:iCs/>
          <w:sz w:val="22"/>
          <w:szCs w:val="22"/>
        </w:rPr>
        <w:t>Susan Ackerman</w:t>
      </w:r>
      <w:r w:rsidRPr="00125008">
        <w:rPr>
          <w:rFonts w:ascii="Nirmala UI Semilight" w:eastAsia="Nirmala UI Semilight" w:hAnsi="Nirmala UI Semilight" w:cs="Nirmala UI Semilight"/>
          <w:i/>
          <w:iCs/>
          <w:sz w:val="22"/>
          <w:szCs w:val="22"/>
        </w:rPr>
        <w:t>. The motion passed unanimously.</w:t>
      </w:r>
    </w:p>
    <w:p w14:paraId="18976C45" w14:textId="77777777" w:rsidR="00AA4D78" w:rsidRPr="00125008" w:rsidRDefault="00AA4D78" w:rsidP="00AA4D78">
      <w:pPr>
        <w:pStyle w:val="ListParagraph"/>
        <w:spacing w:line="259" w:lineRule="auto"/>
        <w:ind w:left="1440"/>
        <w:rPr>
          <w:rFonts w:ascii="Nirmala UI Semilight" w:eastAsia="Nirmala UI Semilight" w:hAnsi="Nirmala UI Semilight" w:cs="Nirmala UI Semilight"/>
          <w:sz w:val="22"/>
          <w:szCs w:val="22"/>
        </w:rPr>
      </w:pPr>
    </w:p>
    <w:p w14:paraId="042155FB" w14:textId="77777777" w:rsidR="00AA4D78" w:rsidRPr="00125008" w:rsidRDefault="00AA4D78" w:rsidP="00AA4D78">
      <w:pPr>
        <w:pStyle w:val="ListParagraph"/>
        <w:numPr>
          <w:ilvl w:val="1"/>
          <w:numId w:val="96"/>
        </w:numPr>
        <w:spacing w:after="0" w:line="259" w:lineRule="auto"/>
        <w:jc w:val="left"/>
        <w:rPr>
          <w:rFonts w:ascii="Nirmala UI Semilight" w:eastAsia="Nirmala UI Semilight" w:hAnsi="Nirmala UI Semilight" w:cs="Nirmala UI Semilight"/>
          <w:b/>
          <w:bCs/>
          <w:sz w:val="22"/>
          <w:szCs w:val="22"/>
        </w:rPr>
      </w:pPr>
      <w:r>
        <w:rPr>
          <w:rFonts w:ascii="Nirmala UI Semilight" w:eastAsia="Nirmala UI Semilight" w:hAnsi="Nirmala UI Semilight" w:cs="Nirmala UI Semilight"/>
          <w:b/>
          <w:bCs/>
          <w:sz w:val="22"/>
          <w:szCs w:val="22"/>
        </w:rPr>
        <w:t>Approve Bylaw Calendar Year Changes</w:t>
      </w:r>
    </w:p>
    <w:p w14:paraId="0DEC3988" w14:textId="77777777" w:rsidR="00AA4D78" w:rsidRPr="00125008" w:rsidRDefault="00AA4D78" w:rsidP="00AA4D78">
      <w:pPr>
        <w:pStyle w:val="ListParagraph"/>
        <w:spacing w:line="259" w:lineRule="auto"/>
        <w:ind w:left="1440"/>
        <w:rPr>
          <w:rFonts w:ascii="Nirmala UI Semilight" w:eastAsia="Nirmala UI Semilight" w:hAnsi="Nirmala UI Semilight" w:cs="Nirmala UI Semilight"/>
          <w:sz w:val="22"/>
          <w:szCs w:val="22"/>
        </w:rPr>
      </w:pPr>
      <w:r>
        <w:rPr>
          <w:rFonts w:ascii="Nirmala UI Semilight" w:eastAsia="Nirmala UI Semilight" w:hAnsi="Nirmala UI Semilight" w:cs="Nirmala UI Semilight"/>
          <w:sz w:val="22"/>
          <w:szCs w:val="22"/>
        </w:rPr>
        <w:lastRenderedPageBreak/>
        <w:t xml:space="preserve">Lisa Hardie reviewed the Bylaw Calendar Year Changes, reflecting the change from the fiscal year to the calendar year.  </w:t>
      </w:r>
    </w:p>
    <w:p w14:paraId="3A67C47D" w14:textId="77777777" w:rsidR="00AA4D78" w:rsidRPr="00125008" w:rsidRDefault="00AA4D78" w:rsidP="00AA4D78">
      <w:pPr>
        <w:spacing w:line="259" w:lineRule="auto"/>
        <w:ind w:left="1440"/>
        <w:rPr>
          <w:rFonts w:ascii="Nirmala UI Semilight" w:eastAsia="Nirmala UI Semilight" w:hAnsi="Nirmala UI Semilight" w:cs="Nirmala UI Semilight"/>
          <w:sz w:val="22"/>
          <w:szCs w:val="22"/>
        </w:rPr>
      </w:pPr>
    </w:p>
    <w:p w14:paraId="39E9BE16" w14:textId="77777777" w:rsidR="00AA4D78" w:rsidRPr="00125008" w:rsidRDefault="00AA4D78" w:rsidP="00AA4D78">
      <w:pPr>
        <w:pStyle w:val="ListParagraph"/>
        <w:spacing w:line="259" w:lineRule="auto"/>
        <w:ind w:left="2160"/>
        <w:rPr>
          <w:rFonts w:ascii="Nirmala UI Semilight" w:eastAsia="Nirmala UI Semilight" w:hAnsi="Nirmala UI Semilight" w:cs="Nirmala UI Semilight"/>
          <w:i/>
          <w:iCs/>
          <w:sz w:val="22"/>
          <w:szCs w:val="22"/>
        </w:rPr>
      </w:pPr>
      <w:r w:rsidRPr="00125008">
        <w:rPr>
          <w:rFonts w:ascii="Nirmala UI Semilight" w:eastAsia="Nirmala UI Semilight" w:hAnsi="Nirmala UI Semilight" w:cs="Nirmala UI Semilight"/>
          <w:i/>
          <w:iCs/>
          <w:sz w:val="22"/>
          <w:szCs w:val="22"/>
        </w:rPr>
        <w:t xml:space="preserve">A motion to approve the </w:t>
      </w:r>
      <w:r w:rsidRPr="00ED5656">
        <w:rPr>
          <w:rFonts w:ascii="Nirmala UI Semilight" w:eastAsia="Nirmala UI Semilight" w:hAnsi="Nirmala UI Semilight" w:cs="Nirmala UI Semilight"/>
          <w:i/>
          <w:iCs/>
          <w:sz w:val="22"/>
          <w:szCs w:val="22"/>
        </w:rPr>
        <w:t>WPP Bylaw Calendar Year Changes</w:t>
      </w:r>
      <w:r w:rsidRPr="00125008">
        <w:rPr>
          <w:rFonts w:ascii="Nirmala UI Semilight" w:eastAsia="Nirmala UI Semilight" w:hAnsi="Nirmala UI Semilight" w:cs="Nirmala UI Semilight"/>
          <w:i/>
          <w:iCs/>
          <w:sz w:val="22"/>
          <w:szCs w:val="22"/>
        </w:rPr>
        <w:t xml:space="preserve"> was made by </w:t>
      </w:r>
      <w:r>
        <w:rPr>
          <w:rFonts w:ascii="Nirmala UI Semilight" w:eastAsia="Nirmala UI Semilight" w:hAnsi="Nirmala UI Semilight" w:cs="Nirmala UI Semilight"/>
          <w:i/>
          <w:iCs/>
          <w:sz w:val="22"/>
          <w:szCs w:val="22"/>
        </w:rPr>
        <w:t>Michelle Bertolino</w:t>
      </w:r>
      <w:r w:rsidRPr="00125008">
        <w:rPr>
          <w:rFonts w:ascii="Nirmala UI Semilight" w:eastAsia="Nirmala UI Semilight" w:hAnsi="Nirmala UI Semilight" w:cs="Nirmala UI Semilight"/>
          <w:i/>
          <w:iCs/>
          <w:sz w:val="22"/>
          <w:szCs w:val="22"/>
        </w:rPr>
        <w:t xml:space="preserve"> and seconded by Susan Ackerman</w:t>
      </w:r>
      <w:r>
        <w:rPr>
          <w:rFonts w:ascii="Nirmala UI Semilight" w:eastAsia="Nirmala UI Semilight" w:hAnsi="Nirmala UI Semilight" w:cs="Nirmala UI Semilight"/>
          <w:i/>
          <w:iCs/>
          <w:sz w:val="22"/>
          <w:szCs w:val="22"/>
        </w:rPr>
        <w:t>.</w:t>
      </w:r>
      <w:r w:rsidRPr="00125008">
        <w:rPr>
          <w:rFonts w:ascii="Nirmala UI Semilight" w:eastAsia="Nirmala UI Semilight" w:hAnsi="Nirmala UI Semilight" w:cs="Nirmala UI Semilight"/>
          <w:i/>
          <w:iCs/>
          <w:sz w:val="22"/>
          <w:szCs w:val="22"/>
        </w:rPr>
        <w:t xml:space="preserve"> The motion passed unanimously.</w:t>
      </w:r>
    </w:p>
    <w:p w14:paraId="572E2131" w14:textId="77777777" w:rsidR="00AA4D78" w:rsidRPr="00125008" w:rsidRDefault="00AA4D78" w:rsidP="00AA4D78">
      <w:pPr>
        <w:spacing w:line="259" w:lineRule="auto"/>
        <w:rPr>
          <w:rFonts w:ascii="Nirmala UI Semilight" w:eastAsia="Nirmala UI Semilight" w:hAnsi="Nirmala UI Semilight" w:cs="Nirmala UI Semilight"/>
          <w:b/>
          <w:bCs/>
          <w:sz w:val="22"/>
          <w:szCs w:val="22"/>
        </w:rPr>
      </w:pPr>
    </w:p>
    <w:p w14:paraId="1FBC2E6B" w14:textId="77777777" w:rsidR="00AA4D78" w:rsidRPr="00125008" w:rsidRDefault="00AA4D78" w:rsidP="00AA4D78">
      <w:pPr>
        <w:pStyle w:val="ListParagraph"/>
        <w:numPr>
          <w:ilvl w:val="0"/>
          <w:numId w:val="96"/>
        </w:numPr>
        <w:spacing w:after="0" w:line="259" w:lineRule="auto"/>
        <w:jc w:val="left"/>
        <w:rPr>
          <w:rFonts w:ascii="Nirmala UI Semilight" w:eastAsia="Nirmala UI Semilight" w:hAnsi="Nirmala UI Semilight" w:cs="Nirmala UI Semilight"/>
          <w:b/>
          <w:bCs/>
          <w:sz w:val="22"/>
          <w:szCs w:val="22"/>
        </w:rPr>
      </w:pPr>
      <w:r w:rsidRPr="00125008">
        <w:rPr>
          <w:rFonts w:ascii="Nirmala UI Semilight" w:eastAsia="Nirmala UI Semilight" w:hAnsi="Nirmala UI Semilight" w:cs="Nirmala UI Semilight"/>
          <w:b/>
          <w:bCs/>
          <w:sz w:val="22"/>
          <w:szCs w:val="22"/>
        </w:rPr>
        <w:t>Adjourn</w:t>
      </w:r>
    </w:p>
    <w:p w14:paraId="64625A1B" w14:textId="683FD39A" w:rsidR="00703652" w:rsidRPr="00740631" w:rsidRDefault="00AA4D78" w:rsidP="00740631">
      <w:pPr>
        <w:pStyle w:val="ListParagraph"/>
        <w:rPr>
          <w:rFonts w:ascii="Nirmala UI Semilight" w:eastAsia="Nirmala UI Semilight" w:hAnsi="Nirmala UI Semilight" w:cs="Nirmala UI Semilight"/>
          <w:sz w:val="22"/>
          <w:szCs w:val="22"/>
        </w:rPr>
      </w:pPr>
      <w:r w:rsidRPr="00125008">
        <w:rPr>
          <w:rFonts w:ascii="Nirmala UI Semilight" w:eastAsia="Nirmala UI Semilight" w:hAnsi="Nirmala UI Semilight" w:cs="Nirmala UI Semilight"/>
          <w:sz w:val="22"/>
          <w:szCs w:val="22"/>
        </w:rPr>
        <w:t xml:space="preserve">The regular meeting of the Western Power Pool Board of Directors was adjourned at </w:t>
      </w:r>
      <w:r>
        <w:rPr>
          <w:rFonts w:ascii="Nirmala UI Semilight" w:eastAsia="Nirmala UI Semilight" w:hAnsi="Nirmala UI Semilight" w:cs="Nirmala UI Semilight"/>
          <w:sz w:val="22"/>
          <w:szCs w:val="22"/>
        </w:rPr>
        <w:t>10:27</w:t>
      </w:r>
      <w:r w:rsidRPr="00125008">
        <w:rPr>
          <w:rFonts w:ascii="Nirmala UI Semilight" w:eastAsia="Nirmala UI Semilight" w:hAnsi="Nirmala UI Semilight" w:cs="Nirmala UI Semilight"/>
          <w:sz w:val="22"/>
          <w:szCs w:val="22"/>
        </w:rPr>
        <w:t xml:space="preserve"> AM</w:t>
      </w:r>
      <w:r>
        <w:rPr>
          <w:rFonts w:ascii="Nirmala UI Semilight" w:eastAsia="Nirmala UI Semilight" w:hAnsi="Nirmala UI Semilight" w:cs="Nirmala UI Semilight"/>
          <w:sz w:val="22"/>
          <w:szCs w:val="22"/>
        </w:rPr>
        <w:t>, June 25</w:t>
      </w:r>
      <w:r w:rsidRPr="00127D5F">
        <w:rPr>
          <w:rFonts w:ascii="Nirmala UI Semilight" w:eastAsia="Nirmala UI Semilight" w:hAnsi="Nirmala UI Semilight" w:cs="Nirmala UI Semilight"/>
          <w:sz w:val="22"/>
          <w:szCs w:val="22"/>
          <w:vertAlign w:val="superscript"/>
        </w:rPr>
        <w:t>th</w:t>
      </w:r>
      <w:r>
        <w:rPr>
          <w:rFonts w:ascii="Nirmala UI Semilight" w:eastAsia="Nirmala UI Semilight" w:hAnsi="Nirmala UI Semilight" w:cs="Nirmala UI Semilight"/>
          <w:sz w:val="22"/>
          <w:szCs w:val="22"/>
        </w:rPr>
        <w:t>, 2025,</w:t>
      </w:r>
      <w:r w:rsidRPr="00125008">
        <w:rPr>
          <w:rFonts w:ascii="Nirmala UI Semilight" w:eastAsia="Nirmala UI Semilight" w:hAnsi="Nirmala UI Semilight" w:cs="Nirmala UI Semilight"/>
          <w:sz w:val="22"/>
          <w:szCs w:val="22"/>
        </w:rPr>
        <w:t xml:space="preserve"> by Chair Bill Dr</w:t>
      </w:r>
      <w:bookmarkEnd w:id="88"/>
      <w:bookmarkEnd w:id="89"/>
      <w:r w:rsidRPr="00125008">
        <w:rPr>
          <w:rFonts w:ascii="Nirmala UI Semilight" w:eastAsia="Nirmala UI Semilight" w:hAnsi="Nirmala UI Semilight" w:cs="Nirmala UI Semilight"/>
          <w:sz w:val="22"/>
          <w:szCs w:val="22"/>
        </w:rPr>
        <w:t xml:space="preserve">ummond. </w:t>
      </w:r>
    </w:p>
    <w:sectPr w:rsidR="00703652" w:rsidRPr="00740631" w:rsidSect="00BC7A54">
      <w:footerReference w:type="defaul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F20AF" w14:textId="77777777" w:rsidR="00DA7202" w:rsidRDefault="00DA7202" w:rsidP="00CB7592">
      <w:pPr>
        <w:spacing w:after="0" w:line="240" w:lineRule="auto"/>
      </w:pPr>
      <w:r>
        <w:separator/>
      </w:r>
    </w:p>
  </w:endnote>
  <w:endnote w:type="continuationSeparator" w:id="0">
    <w:p w14:paraId="74E8156A" w14:textId="77777777" w:rsidR="00DA7202" w:rsidRDefault="00DA7202" w:rsidP="00CB7592">
      <w:pPr>
        <w:spacing w:after="0" w:line="240" w:lineRule="auto"/>
      </w:pPr>
      <w:r>
        <w:continuationSeparator/>
      </w:r>
    </w:p>
  </w:endnote>
  <w:endnote w:type="continuationNotice" w:id="1">
    <w:p w14:paraId="08C3C7B3" w14:textId="77777777" w:rsidR="00DA7202" w:rsidRDefault="00DA72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Semilight">
    <w:panose1 w:val="020B0402040204020203"/>
    <w:charset w:val="00"/>
    <w:family w:val="swiss"/>
    <w:pitch w:val="variable"/>
    <w:sig w:usb0="80FF8023" w:usb1="0200004A" w:usb2="000002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DIN 2014">
    <w:altName w:val="Calibri"/>
    <w:panose1 w:val="00000000000000000000"/>
    <w:charset w:val="4D"/>
    <w:family w:val="swiss"/>
    <w:notTrueType/>
    <w:pitch w:val="variable"/>
    <w:sig w:usb0="A00002FF" w:usb1="5000204B" w:usb2="00000020" w:usb3="00000000" w:csb0="00000097" w:csb1="00000000"/>
  </w:font>
  <w:font w:name="Times New Roman (Body CS)">
    <w:altName w:val="Times New Roman"/>
    <w:charset w:val="00"/>
    <w:family w:val="roman"/>
    <w:pitch w:val="default"/>
  </w:font>
  <w:font w:name="ProximaNova-Regular">
    <w:altName w:val="Cambria"/>
    <w:panose1 w:val="00000000000000000000"/>
    <w:charset w:val="00"/>
    <w:family w:val="roman"/>
    <w:notTrueType/>
    <w:pitch w:val="default"/>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2BDAE" w14:textId="55B2EDCB" w:rsidR="00346513" w:rsidRDefault="001A5605">
    <w:pPr>
      <w:pStyle w:val="Footer"/>
      <w:jc w:val="right"/>
    </w:pPr>
    <w:r>
      <w:t xml:space="preserve">WRAP / PRC / </w:t>
    </w:r>
    <w:r w:rsidR="005F79EA">
      <w:t>2025 Workplan Development /</w:t>
    </w:r>
    <w:r w:rsidR="00004349">
      <w:t>DRAFT Workplan</w:t>
    </w:r>
    <w:r w:rsidR="004F0546">
      <w:t xml:space="preserve"> – Board Version</w:t>
    </w:r>
    <w:r w:rsidR="00463FFD">
      <w:tab/>
    </w:r>
    <w:r>
      <w:t xml:space="preserve"> </w:t>
    </w:r>
    <w:sdt>
      <w:sdtPr>
        <w:id w:val="-292670030"/>
        <w:docPartObj>
          <w:docPartGallery w:val="Page Numbers (Bottom of Page)"/>
          <w:docPartUnique/>
        </w:docPartObj>
      </w:sdtPr>
      <w:sdtEndPr>
        <w:rPr>
          <w:noProof/>
        </w:rPr>
      </w:sdtEndPr>
      <w:sdtContent>
        <w:r w:rsidR="00346513">
          <w:fldChar w:fldCharType="begin"/>
        </w:r>
        <w:r w:rsidR="00346513">
          <w:instrText xml:space="preserve"> PAGE   \* MERGEFORMAT </w:instrText>
        </w:r>
        <w:r w:rsidR="00346513">
          <w:fldChar w:fldCharType="separate"/>
        </w:r>
        <w:r w:rsidR="00346513">
          <w:rPr>
            <w:noProof/>
          </w:rPr>
          <w:t>2</w:t>
        </w:r>
        <w:r w:rsidR="00346513">
          <w:rPr>
            <w:noProof/>
          </w:rPr>
          <w:fldChar w:fldCharType="end"/>
        </w:r>
      </w:sdtContent>
    </w:sdt>
  </w:p>
  <w:p w14:paraId="4B805AC1" w14:textId="77777777" w:rsidR="00346513" w:rsidRDefault="00346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9B594" w14:textId="77777777" w:rsidR="00DA7202" w:rsidRDefault="00DA7202" w:rsidP="00CB7592">
      <w:pPr>
        <w:spacing w:after="0" w:line="240" w:lineRule="auto"/>
      </w:pPr>
      <w:r>
        <w:separator/>
      </w:r>
    </w:p>
  </w:footnote>
  <w:footnote w:type="continuationSeparator" w:id="0">
    <w:p w14:paraId="285897EF" w14:textId="77777777" w:rsidR="00DA7202" w:rsidRDefault="00DA7202" w:rsidP="00CB7592">
      <w:pPr>
        <w:spacing w:after="0" w:line="240" w:lineRule="auto"/>
      </w:pPr>
      <w:r>
        <w:continuationSeparator/>
      </w:r>
    </w:p>
  </w:footnote>
  <w:footnote w:type="continuationNotice" w:id="1">
    <w:p w14:paraId="723F33E5" w14:textId="77777777" w:rsidR="00DA7202" w:rsidRDefault="00DA7202">
      <w:pPr>
        <w:spacing w:after="0" w:line="240" w:lineRule="auto"/>
      </w:pPr>
    </w:p>
  </w:footnote>
  <w:footnote w:id="2">
    <w:p w14:paraId="4A792373" w14:textId="666F84E7" w:rsidR="00A62BEA" w:rsidRDefault="00A62BEA">
      <w:pPr>
        <w:pStyle w:val="FootnoteText"/>
      </w:pPr>
      <w:r>
        <w:rPr>
          <w:rStyle w:val="FootnoteReference"/>
        </w:rPr>
        <w:footnoteRef/>
      </w:r>
      <w:r>
        <w:t xml:space="preserve"> All WRAP BPMs can be found at</w:t>
      </w:r>
      <w:r w:rsidR="00714A36">
        <w:t xml:space="preserve">: </w:t>
      </w:r>
      <w:r w:rsidR="00714A36" w:rsidRPr="00714A36">
        <w:t>https://www.westernpowerpool.org/resources/wrap_bpms/</w:t>
      </w:r>
      <w:r>
        <w:t xml:space="preserve"> </w:t>
      </w:r>
    </w:p>
  </w:footnote>
  <w:footnote w:id="3">
    <w:p w14:paraId="6134AD72" w14:textId="6BDEC2BB" w:rsidR="00C5330A" w:rsidRDefault="00C5330A">
      <w:pPr>
        <w:pStyle w:val="FootnoteText"/>
      </w:pPr>
      <w:r>
        <w:rPr>
          <w:rStyle w:val="FootnoteReference"/>
        </w:rPr>
        <w:footnoteRef/>
      </w:r>
      <w:r>
        <w:t xml:space="preserve"> </w:t>
      </w:r>
      <w:r w:rsidR="002820E1">
        <w:t xml:space="preserve">WRAP Change Request Portal: </w:t>
      </w:r>
      <w:r w:rsidR="002820E1" w:rsidRPr="002820E1">
        <w:t>https://www.westernpowerpool.org/comments/change_requests/western-resource-adequacy-program</w:t>
      </w:r>
    </w:p>
  </w:footnote>
  <w:footnote w:id="4">
    <w:p w14:paraId="6E0918AD" w14:textId="5344FBD9" w:rsidR="00870D13" w:rsidRDefault="00870D13">
      <w:pPr>
        <w:pStyle w:val="FootnoteText"/>
      </w:pPr>
      <w:r>
        <w:rPr>
          <w:rStyle w:val="FootnoteReference"/>
        </w:rPr>
        <w:footnoteRef/>
      </w:r>
      <w:r>
        <w:t xml:space="preserve"> BPM 301 </w:t>
      </w:r>
      <w:r w:rsidR="003500A0">
        <w:t xml:space="preserve">§3.4 </w:t>
      </w:r>
      <w:r w:rsidR="00E46037">
        <w:t>pp 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A6F98"/>
    <w:multiLevelType w:val="hybridMultilevel"/>
    <w:tmpl w:val="A296CB86"/>
    <w:lvl w:ilvl="0" w:tplc="5AE6BC6A">
      <w:start w:val="1"/>
      <w:numFmt w:val="upperRoman"/>
      <w:lvlText w:val="%1."/>
      <w:lvlJc w:val="right"/>
      <w:pPr>
        <w:ind w:left="720" w:hanging="360"/>
      </w:pPr>
      <w:rPr>
        <w:b w:val="0"/>
        <w:bCs w:val="0"/>
        <w:i w:val="0"/>
        <w:iCs/>
      </w:rPr>
    </w:lvl>
    <w:lvl w:ilvl="1" w:tplc="FFFFFFFF">
      <w:start w:val="1"/>
      <w:numFmt w:val="lowerLetter"/>
      <w:lvlText w:val="%2."/>
      <w:lvlJc w:val="left"/>
      <w:pPr>
        <w:ind w:left="1440" w:hanging="360"/>
      </w:pPr>
      <w:rPr>
        <w:b w:val="0"/>
        <w:bCs w:val="0"/>
        <w:i w:val="0"/>
        <w:iCs/>
      </w:rPr>
    </w:lvl>
    <w:lvl w:ilvl="2" w:tplc="3CFAD4F6">
      <w:start w:val="1"/>
      <w:numFmt w:val="lowerRoman"/>
      <w:lvlText w:val="%3."/>
      <w:lvlJc w:val="right"/>
      <w:pPr>
        <w:ind w:left="2160" w:hanging="180"/>
      </w:pPr>
      <w:rPr>
        <w:b w:val="0"/>
        <w:bCs w:val="0"/>
        <w:i w:val="0"/>
        <w:iCs/>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0A125"/>
    <w:multiLevelType w:val="multilevel"/>
    <w:tmpl w:val="70560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297EF6"/>
    <w:multiLevelType w:val="hybridMultilevel"/>
    <w:tmpl w:val="842E5884"/>
    <w:lvl w:ilvl="0" w:tplc="04090005">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start w:val="3"/>
      <w:numFmt w:val="bullet"/>
      <w:lvlText w:val="-"/>
      <w:lvlJc w:val="left"/>
      <w:pPr>
        <w:ind w:left="3240" w:hanging="360"/>
      </w:pPr>
      <w:rPr>
        <w:rFonts w:ascii="Nirmala UI Semilight" w:eastAsiaTheme="minorHAnsi" w:hAnsi="Nirmala UI Semilight" w:cs="Nirmala UI Semilight"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0EE10696"/>
    <w:multiLevelType w:val="hybridMultilevel"/>
    <w:tmpl w:val="6B726248"/>
    <w:lvl w:ilvl="0" w:tplc="FFFFFFFF">
      <w:start w:val="1"/>
      <w:numFmt w:val="decimal"/>
      <w:lvlText w:val="(%1)"/>
      <w:lvlJc w:val="left"/>
      <w:pPr>
        <w:ind w:left="1440" w:hanging="360"/>
      </w:pPr>
      <w:rPr>
        <w:rFonts w:hint="default"/>
        <w:color w:val="auto"/>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4" w15:restartNumberingAfterBreak="0">
    <w:nsid w:val="10E4293E"/>
    <w:multiLevelType w:val="hybridMultilevel"/>
    <w:tmpl w:val="31B4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339D5"/>
    <w:multiLevelType w:val="hybridMultilevel"/>
    <w:tmpl w:val="BAEA5DB4"/>
    <w:lvl w:ilvl="0" w:tplc="092080EA">
      <w:start w:val="1"/>
      <w:numFmt w:val="upperLetter"/>
      <w:lvlText w:val="(%1)"/>
      <w:lvlJc w:val="left"/>
      <w:pPr>
        <w:ind w:left="2970" w:hanging="360"/>
      </w:pPr>
      <w:rPr>
        <w:rFonts w:hint="default"/>
      </w:rPr>
    </w:lvl>
    <w:lvl w:ilvl="1" w:tplc="04090019">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6" w15:restartNumberingAfterBreak="0">
    <w:nsid w:val="137178A7"/>
    <w:multiLevelType w:val="multilevel"/>
    <w:tmpl w:val="3F2E2008"/>
    <w:lvl w:ilvl="0">
      <w:start w:val="1"/>
      <w:numFmt w:val="bullet"/>
      <w:lvlText w:val=""/>
      <w:lvlJc w:val="left"/>
      <w:pPr>
        <w:tabs>
          <w:tab w:val="num" w:pos="3240"/>
        </w:tabs>
        <w:ind w:left="3240" w:hanging="360"/>
      </w:pPr>
      <w:rPr>
        <w:rFonts w:ascii="Wingdings" w:hAnsi="Wingdings"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7" w15:restartNumberingAfterBreak="0">
    <w:nsid w:val="14244CCA"/>
    <w:multiLevelType w:val="hybridMultilevel"/>
    <w:tmpl w:val="4BD0C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93D09"/>
    <w:multiLevelType w:val="hybridMultilevel"/>
    <w:tmpl w:val="5FF494FC"/>
    <w:lvl w:ilvl="0" w:tplc="FFFFFFFF">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FFFFFFFF">
      <w:start w:val="3"/>
      <w:numFmt w:val="bullet"/>
      <w:lvlText w:val="-"/>
      <w:lvlJc w:val="left"/>
      <w:pPr>
        <w:ind w:left="3240" w:hanging="360"/>
      </w:pPr>
      <w:rPr>
        <w:rFonts w:ascii="Nirmala UI Semilight" w:eastAsiaTheme="minorHAnsi" w:hAnsi="Nirmala UI Semilight" w:cs="Nirmala UI Semilight"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9" w15:restartNumberingAfterBreak="0">
    <w:nsid w:val="180942C9"/>
    <w:multiLevelType w:val="multilevel"/>
    <w:tmpl w:val="91D4D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551A25"/>
    <w:multiLevelType w:val="hybridMultilevel"/>
    <w:tmpl w:val="518E431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BCE5622"/>
    <w:multiLevelType w:val="multilevel"/>
    <w:tmpl w:val="DB62C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3963DA"/>
    <w:multiLevelType w:val="hybridMultilevel"/>
    <w:tmpl w:val="0A7EFC08"/>
    <w:lvl w:ilvl="0" w:tplc="04090001">
      <w:start w:val="1"/>
      <w:numFmt w:val="bullet"/>
      <w:lvlText w:val=""/>
      <w:lvlJc w:val="left"/>
      <w:pPr>
        <w:ind w:left="720" w:hanging="360"/>
      </w:pPr>
      <w:rPr>
        <w:rFonts w:ascii="Symbol" w:hAnsi="Symbol" w:hint="default"/>
        <w:b w:val="0"/>
        <w:bCs w:val="0"/>
        <w:i w:val="0"/>
        <w:iCs/>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rPr>
        <w:b w:val="0"/>
        <w:bCs w:val="0"/>
        <w:i w:val="0"/>
        <w:iCs/>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C87556B"/>
    <w:multiLevelType w:val="multilevel"/>
    <w:tmpl w:val="B964C9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FC0A27"/>
    <w:multiLevelType w:val="multilevel"/>
    <w:tmpl w:val="5296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9070DF"/>
    <w:multiLevelType w:val="hybridMultilevel"/>
    <w:tmpl w:val="758E2842"/>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6" w15:restartNumberingAfterBreak="0">
    <w:nsid w:val="21D9415F"/>
    <w:multiLevelType w:val="hybridMultilevel"/>
    <w:tmpl w:val="384AC3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3094B4C"/>
    <w:multiLevelType w:val="hybridMultilevel"/>
    <w:tmpl w:val="29AE4DC4"/>
    <w:lvl w:ilvl="0" w:tplc="FFFFFFFF">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FFFFFFFF">
      <w:start w:val="3"/>
      <w:numFmt w:val="bullet"/>
      <w:lvlText w:val="-"/>
      <w:lvlJc w:val="left"/>
      <w:pPr>
        <w:ind w:left="3240" w:hanging="360"/>
      </w:pPr>
      <w:rPr>
        <w:rFonts w:ascii="Nirmala UI Semilight" w:eastAsiaTheme="minorHAnsi" w:hAnsi="Nirmala UI Semilight" w:cs="Nirmala UI Semilight"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8" w15:restartNumberingAfterBreak="0">
    <w:nsid w:val="269F688B"/>
    <w:multiLevelType w:val="hybridMultilevel"/>
    <w:tmpl w:val="B80A06E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271A5AEE"/>
    <w:multiLevelType w:val="multilevel"/>
    <w:tmpl w:val="463C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731176C"/>
    <w:multiLevelType w:val="multilevel"/>
    <w:tmpl w:val="0C3C9E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A347FC"/>
    <w:multiLevelType w:val="hybridMultilevel"/>
    <w:tmpl w:val="F3F24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396BC0"/>
    <w:multiLevelType w:val="multilevel"/>
    <w:tmpl w:val="0908F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BBE57A4"/>
    <w:multiLevelType w:val="multilevel"/>
    <w:tmpl w:val="E188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BCA0EE2"/>
    <w:multiLevelType w:val="hybridMultilevel"/>
    <w:tmpl w:val="4B3A5140"/>
    <w:lvl w:ilvl="0" w:tplc="FFFFFFFF">
      <w:start w:val="1"/>
      <w:numFmt w:val="upperRoman"/>
      <w:lvlText w:val="%1."/>
      <w:lvlJc w:val="right"/>
      <w:pPr>
        <w:ind w:left="720" w:hanging="360"/>
      </w:pPr>
      <w:rPr>
        <w:b w:val="0"/>
        <w:bCs w:val="0"/>
        <w:i w:val="0"/>
        <w:iCs/>
      </w:rPr>
    </w:lvl>
    <w:lvl w:ilvl="1" w:tplc="04090003">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C3C3724"/>
    <w:multiLevelType w:val="multilevel"/>
    <w:tmpl w:val="37064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E99AC1E"/>
    <w:multiLevelType w:val="hybridMultilevel"/>
    <w:tmpl w:val="DF204882"/>
    <w:lvl w:ilvl="0" w:tplc="F3081D50">
      <w:start w:val="1"/>
      <w:numFmt w:val="bullet"/>
      <w:lvlText w:val=""/>
      <w:lvlJc w:val="left"/>
      <w:pPr>
        <w:ind w:left="360" w:hanging="360"/>
      </w:pPr>
      <w:rPr>
        <w:rFonts w:ascii="Symbol" w:hAnsi="Symbol" w:hint="default"/>
      </w:rPr>
    </w:lvl>
    <w:lvl w:ilvl="1" w:tplc="EC704130">
      <w:start w:val="1"/>
      <w:numFmt w:val="bullet"/>
      <w:lvlText w:val="o"/>
      <w:lvlJc w:val="left"/>
      <w:pPr>
        <w:ind w:left="1080" w:hanging="360"/>
      </w:pPr>
      <w:rPr>
        <w:rFonts w:ascii="Courier New" w:hAnsi="Courier New" w:hint="default"/>
      </w:rPr>
    </w:lvl>
    <w:lvl w:ilvl="2" w:tplc="5DDE64DA">
      <w:start w:val="1"/>
      <w:numFmt w:val="bullet"/>
      <w:lvlText w:val=""/>
      <w:lvlJc w:val="left"/>
      <w:pPr>
        <w:ind w:left="1800" w:hanging="360"/>
      </w:pPr>
      <w:rPr>
        <w:rFonts w:ascii="Wingdings" w:hAnsi="Wingdings" w:hint="default"/>
      </w:rPr>
    </w:lvl>
    <w:lvl w:ilvl="3" w:tplc="759084F2">
      <w:start w:val="1"/>
      <w:numFmt w:val="bullet"/>
      <w:lvlText w:val=""/>
      <w:lvlJc w:val="left"/>
      <w:pPr>
        <w:ind w:left="2520" w:hanging="360"/>
      </w:pPr>
      <w:rPr>
        <w:rFonts w:ascii="Symbol" w:hAnsi="Symbol" w:hint="default"/>
      </w:rPr>
    </w:lvl>
    <w:lvl w:ilvl="4" w:tplc="BD1EA918">
      <w:start w:val="1"/>
      <w:numFmt w:val="bullet"/>
      <w:lvlText w:val="o"/>
      <w:lvlJc w:val="left"/>
      <w:pPr>
        <w:ind w:left="3240" w:hanging="360"/>
      </w:pPr>
      <w:rPr>
        <w:rFonts w:ascii="Courier New" w:hAnsi="Courier New" w:hint="default"/>
      </w:rPr>
    </w:lvl>
    <w:lvl w:ilvl="5" w:tplc="6B203ED6">
      <w:start w:val="1"/>
      <w:numFmt w:val="bullet"/>
      <w:lvlText w:val=""/>
      <w:lvlJc w:val="left"/>
      <w:pPr>
        <w:ind w:left="3960" w:hanging="360"/>
      </w:pPr>
      <w:rPr>
        <w:rFonts w:ascii="Wingdings" w:hAnsi="Wingdings" w:hint="default"/>
      </w:rPr>
    </w:lvl>
    <w:lvl w:ilvl="6" w:tplc="EE70E156">
      <w:start w:val="1"/>
      <w:numFmt w:val="bullet"/>
      <w:lvlText w:val=""/>
      <w:lvlJc w:val="left"/>
      <w:pPr>
        <w:ind w:left="4680" w:hanging="360"/>
      </w:pPr>
      <w:rPr>
        <w:rFonts w:ascii="Symbol" w:hAnsi="Symbol" w:hint="default"/>
      </w:rPr>
    </w:lvl>
    <w:lvl w:ilvl="7" w:tplc="3B7ED25E">
      <w:start w:val="1"/>
      <w:numFmt w:val="bullet"/>
      <w:lvlText w:val="o"/>
      <w:lvlJc w:val="left"/>
      <w:pPr>
        <w:ind w:left="5400" w:hanging="360"/>
      </w:pPr>
      <w:rPr>
        <w:rFonts w:ascii="Courier New" w:hAnsi="Courier New" w:hint="default"/>
      </w:rPr>
    </w:lvl>
    <w:lvl w:ilvl="8" w:tplc="DF64B5E6">
      <w:start w:val="1"/>
      <w:numFmt w:val="bullet"/>
      <w:lvlText w:val=""/>
      <w:lvlJc w:val="left"/>
      <w:pPr>
        <w:ind w:left="6120" w:hanging="360"/>
      </w:pPr>
      <w:rPr>
        <w:rFonts w:ascii="Wingdings" w:hAnsi="Wingdings" w:hint="default"/>
      </w:rPr>
    </w:lvl>
  </w:abstractNum>
  <w:abstractNum w:abstractNumId="27" w15:restartNumberingAfterBreak="0">
    <w:nsid w:val="2F162070"/>
    <w:multiLevelType w:val="hybridMultilevel"/>
    <w:tmpl w:val="AEA6AD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5325EC"/>
    <w:multiLevelType w:val="hybridMultilevel"/>
    <w:tmpl w:val="9B6E4F8E"/>
    <w:lvl w:ilvl="0" w:tplc="0409000F">
      <w:start w:val="1"/>
      <w:numFmt w:val="decimal"/>
      <w:lvlText w:val="%1."/>
      <w:lvlJc w:val="left"/>
      <w:pPr>
        <w:ind w:left="720" w:hanging="360"/>
      </w:pPr>
      <w:rPr>
        <w:b w:val="0"/>
        <w:bCs w:val="0"/>
        <w:i w:val="0"/>
        <w:iCs/>
      </w:rPr>
    </w:lvl>
    <w:lvl w:ilvl="1" w:tplc="FFFFFFFF">
      <w:start w:val="1"/>
      <w:numFmt w:val="lowerLetter"/>
      <w:lvlText w:val="%2."/>
      <w:lvlJc w:val="left"/>
      <w:pPr>
        <w:ind w:left="1440" w:hanging="360"/>
      </w:pPr>
      <w:rPr>
        <w:b w:val="0"/>
        <w:bCs w:val="0"/>
        <w:i w:val="0"/>
        <w:iCs/>
      </w:rPr>
    </w:lvl>
    <w:lvl w:ilvl="2" w:tplc="FFFFFFFF">
      <w:start w:val="1"/>
      <w:numFmt w:val="lowerRoman"/>
      <w:lvlText w:val="%3."/>
      <w:lvlJc w:val="right"/>
      <w:pPr>
        <w:ind w:left="2160" w:hanging="180"/>
      </w:pPr>
      <w:rPr>
        <w:b w:val="0"/>
        <w:bCs w:val="0"/>
        <w:i w:val="0"/>
        <w:iCs/>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1AA735F"/>
    <w:multiLevelType w:val="multilevel"/>
    <w:tmpl w:val="98207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4186FCA"/>
    <w:multiLevelType w:val="hybridMultilevel"/>
    <w:tmpl w:val="FDB46DC4"/>
    <w:lvl w:ilvl="0" w:tplc="86F4CB6E">
      <w:start w:val="1"/>
      <w:numFmt w:val="bullet"/>
      <w:lvlText w:val=""/>
      <w:lvlJc w:val="left"/>
      <w:pPr>
        <w:ind w:left="360" w:hanging="360"/>
      </w:pPr>
      <w:rPr>
        <w:rFonts w:ascii="Symbol" w:hAnsi="Symbol" w:hint="default"/>
      </w:rPr>
    </w:lvl>
    <w:lvl w:ilvl="1" w:tplc="C1240826">
      <w:start w:val="1"/>
      <w:numFmt w:val="bullet"/>
      <w:lvlText w:val="o"/>
      <w:lvlJc w:val="left"/>
      <w:pPr>
        <w:ind w:left="1080" w:hanging="360"/>
      </w:pPr>
      <w:rPr>
        <w:rFonts w:ascii="Courier New" w:hAnsi="Courier New" w:hint="default"/>
      </w:rPr>
    </w:lvl>
    <w:lvl w:ilvl="2" w:tplc="EBAA7488">
      <w:start w:val="1"/>
      <w:numFmt w:val="bullet"/>
      <w:lvlText w:val=""/>
      <w:lvlJc w:val="left"/>
      <w:pPr>
        <w:ind w:left="1800" w:hanging="360"/>
      </w:pPr>
      <w:rPr>
        <w:rFonts w:ascii="Wingdings" w:hAnsi="Wingdings" w:hint="default"/>
      </w:rPr>
    </w:lvl>
    <w:lvl w:ilvl="3" w:tplc="EAA0BE36">
      <w:start w:val="1"/>
      <w:numFmt w:val="bullet"/>
      <w:lvlText w:val=""/>
      <w:lvlJc w:val="left"/>
      <w:pPr>
        <w:ind w:left="2520" w:hanging="360"/>
      </w:pPr>
      <w:rPr>
        <w:rFonts w:ascii="Symbol" w:hAnsi="Symbol" w:hint="default"/>
      </w:rPr>
    </w:lvl>
    <w:lvl w:ilvl="4" w:tplc="C5B89688">
      <w:start w:val="1"/>
      <w:numFmt w:val="bullet"/>
      <w:lvlText w:val="o"/>
      <w:lvlJc w:val="left"/>
      <w:pPr>
        <w:ind w:left="3240" w:hanging="360"/>
      </w:pPr>
      <w:rPr>
        <w:rFonts w:ascii="Courier New" w:hAnsi="Courier New" w:hint="default"/>
      </w:rPr>
    </w:lvl>
    <w:lvl w:ilvl="5" w:tplc="8A964676">
      <w:start w:val="1"/>
      <w:numFmt w:val="bullet"/>
      <w:lvlText w:val=""/>
      <w:lvlJc w:val="left"/>
      <w:pPr>
        <w:ind w:left="3960" w:hanging="360"/>
      </w:pPr>
      <w:rPr>
        <w:rFonts w:ascii="Wingdings" w:hAnsi="Wingdings" w:hint="default"/>
      </w:rPr>
    </w:lvl>
    <w:lvl w:ilvl="6" w:tplc="9EF47CAC">
      <w:start w:val="1"/>
      <w:numFmt w:val="bullet"/>
      <w:lvlText w:val=""/>
      <w:lvlJc w:val="left"/>
      <w:pPr>
        <w:ind w:left="4680" w:hanging="360"/>
      </w:pPr>
      <w:rPr>
        <w:rFonts w:ascii="Symbol" w:hAnsi="Symbol" w:hint="default"/>
      </w:rPr>
    </w:lvl>
    <w:lvl w:ilvl="7" w:tplc="6B1C8982">
      <w:start w:val="1"/>
      <w:numFmt w:val="bullet"/>
      <w:lvlText w:val="o"/>
      <w:lvlJc w:val="left"/>
      <w:pPr>
        <w:ind w:left="5400" w:hanging="360"/>
      </w:pPr>
      <w:rPr>
        <w:rFonts w:ascii="Courier New" w:hAnsi="Courier New" w:hint="default"/>
      </w:rPr>
    </w:lvl>
    <w:lvl w:ilvl="8" w:tplc="B7386536">
      <w:start w:val="1"/>
      <w:numFmt w:val="bullet"/>
      <w:lvlText w:val=""/>
      <w:lvlJc w:val="left"/>
      <w:pPr>
        <w:ind w:left="6120" w:hanging="360"/>
      </w:pPr>
      <w:rPr>
        <w:rFonts w:ascii="Wingdings" w:hAnsi="Wingdings" w:hint="default"/>
      </w:rPr>
    </w:lvl>
  </w:abstractNum>
  <w:abstractNum w:abstractNumId="31" w15:restartNumberingAfterBreak="0">
    <w:nsid w:val="34B831C3"/>
    <w:multiLevelType w:val="multilevel"/>
    <w:tmpl w:val="A274A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4DD687F"/>
    <w:multiLevelType w:val="multilevel"/>
    <w:tmpl w:val="6344B6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53F6044"/>
    <w:multiLevelType w:val="hybridMultilevel"/>
    <w:tmpl w:val="BFFEE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5475EC9"/>
    <w:multiLevelType w:val="hybridMultilevel"/>
    <w:tmpl w:val="9DCAD8EA"/>
    <w:lvl w:ilvl="0" w:tplc="368CFC92">
      <w:start w:val="1"/>
      <w:numFmt w:val="bullet"/>
      <w:lvlText w:val=""/>
      <w:lvlJc w:val="left"/>
      <w:pPr>
        <w:ind w:left="360" w:hanging="360"/>
      </w:pPr>
      <w:rPr>
        <w:rFonts w:ascii="Symbol" w:hAnsi="Symbol" w:hint="default"/>
      </w:rPr>
    </w:lvl>
    <w:lvl w:ilvl="1" w:tplc="2540574E">
      <w:start w:val="1"/>
      <w:numFmt w:val="bullet"/>
      <w:lvlText w:val="o"/>
      <w:lvlJc w:val="left"/>
      <w:pPr>
        <w:ind w:left="1080" w:hanging="360"/>
      </w:pPr>
      <w:rPr>
        <w:rFonts w:ascii="Courier New" w:hAnsi="Courier New" w:hint="default"/>
      </w:rPr>
    </w:lvl>
    <w:lvl w:ilvl="2" w:tplc="CA641272">
      <w:start w:val="1"/>
      <w:numFmt w:val="bullet"/>
      <w:lvlText w:val=""/>
      <w:lvlJc w:val="left"/>
      <w:pPr>
        <w:ind w:left="1800" w:hanging="360"/>
      </w:pPr>
      <w:rPr>
        <w:rFonts w:ascii="Wingdings" w:hAnsi="Wingdings" w:hint="default"/>
      </w:rPr>
    </w:lvl>
    <w:lvl w:ilvl="3" w:tplc="00621346">
      <w:start w:val="1"/>
      <w:numFmt w:val="bullet"/>
      <w:lvlText w:val=""/>
      <w:lvlJc w:val="left"/>
      <w:pPr>
        <w:ind w:left="2520" w:hanging="360"/>
      </w:pPr>
      <w:rPr>
        <w:rFonts w:ascii="Symbol" w:hAnsi="Symbol" w:hint="default"/>
      </w:rPr>
    </w:lvl>
    <w:lvl w:ilvl="4" w:tplc="E1981CCA">
      <w:start w:val="1"/>
      <w:numFmt w:val="bullet"/>
      <w:lvlText w:val="o"/>
      <w:lvlJc w:val="left"/>
      <w:pPr>
        <w:ind w:left="3240" w:hanging="360"/>
      </w:pPr>
      <w:rPr>
        <w:rFonts w:ascii="Courier New" w:hAnsi="Courier New" w:hint="default"/>
      </w:rPr>
    </w:lvl>
    <w:lvl w:ilvl="5" w:tplc="C820E8F6">
      <w:start w:val="1"/>
      <w:numFmt w:val="bullet"/>
      <w:lvlText w:val=""/>
      <w:lvlJc w:val="left"/>
      <w:pPr>
        <w:ind w:left="3960" w:hanging="360"/>
      </w:pPr>
      <w:rPr>
        <w:rFonts w:ascii="Wingdings" w:hAnsi="Wingdings" w:hint="default"/>
      </w:rPr>
    </w:lvl>
    <w:lvl w:ilvl="6" w:tplc="E0526974">
      <w:start w:val="1"/>
      <w:numFmt w:val="bullet"/>
      <w:lvlText w:val=""/>
      <w:lvlJc w:val="left"/>
      <w:pPr>
        <w:ind w:left="4680" w:hanging="360"/>
      </w:pPr>
      <w:rPr>
        <w:rFonts w:ascii="Symbol" w:hAnsi="Symbol" w:hint="default"/>
      </w:rPr>
    </w:lvl>
    <w:lvl w:ilvl="7" w:tplc="E1286324">
      <w:start w:val="1"/>
      <w:numFmt w:val="bullet"/>
      <w:lvlText w:val="o"/>
      <w:lvlJc w:val="left"/>
      <w:pPr>
        <w:ind w:left="5400" w:hanging="360"/>
      </w:pPr>
      <w:rPr>
        <w:rFonts w:ascii="Courier New" w:hAnsi="Courier New" w:hint="default"/>
      </w:rPr>
    </w:lvl>
    <w:lvl w:ilvl="8" w:tplc="EB141AD2">
      <w:start w:val="1"/>
      <w:numFmt w:val="bullet"/>
      <w:lvlText w:val=""/>
      <w:lvlJc w:val="left"/>
      <w:pPr>
        <w:ind w:left="6120" w:hanging="360"/>
      </w:pPr>
      <w:rPr>
        <w:rFonts w:ascii="Wingdings" w:hAnsi="Wingdings" w:hint="default"/>
      </w:rPr>
    </w:lvl>
  </w:abstractNum>
  <w:abstractNum w:abstractNumId="35" w15:restartNumberingAfterBreak="0">
    <w:nsid w:val="3575BB58"/>
    <w:multiLevelType w:val="multilevel"/>
    <w:tmpl w:val="F9A27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60D5D47"/>
    <w:multiLevelType w:val="multilevel"/>
    <w:tmpl w:val="B8D413F4"/>
    <w:lvl w:ilvl="0">
      <w:start w:val="1"/>
      <w:numFmt w:val="upperLetter"/>
      <w:lvlText w:val="(%1)"/>
      <w:lvlJc w:val="left"/>
      <w:pPr>
        <w:ind w:left="720" w:hanging="540"/>
      </w:pPr>
      <w:rPr>
        <w:rFonts w:hint="default"/>
        <w:b w:val="0"/>
      </w:rPr>
    </w:lvl>
    <w:lvl w:ilvl="1">
      <w:start w:val="1"/>
      <w:numFmt w:val="decimal"/>
      <w:lvlText w:val="(%2)"/>
      <w:lvlJc w:val="left"/>
      <w:pPr>
        <w:ind w:left="1260" w:hanging="540"/>
      </w:pPr>
      <w:rPr>
        <w:rFonts w:hint="default"/>
        <w:b w:val="0"/>
      </w:rPr>
    </w:lvl>
    <w:lvl w:ilvl="2">
      <w:start w:val="1"/>
      <w:numFmt w:val="lowerLetter"/>
      <w:lvlText w:val="(%3)"/>
      <w:lvlJc w:val="left"/>
      <w:pPr>
        <w:ind w:left="1800" w:hanging="540"/>
      </w:pPr>
      <w:rPr>
        <w:rFonts w:hint="default"/>
        <w:b w:val="0"/>
      </w:rPr>
    </w:lvl>
    <w:lvl w:ilvl="3">
      <w:start w:val="1"/>
      <w:numFmt w:val="lowerRoman"/>
      <w:lvlText w:val="(%4)"/>
      <w:lvlJc w:val="left"/>
      <w:pPr>
        <w:ind w:left="2700" w:hanging="540"/>
      </w:pPr>
      <w:rPr>
        <w:rFonts w:hint="default"/>
      </w:rPr>
    </w:lvl>
    <w:lvl w:ilvl="4">
      <w:start w:val="1"/>
      <w:numFmt w:val="lowerLetter"/>
      <w:lvlText w:val="(%5)"/>
      <w:lvlJc w:val="left"/>
      <w:pPr>
        <w:ind w:left="3420" w:hanging="54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37" w15:restartNumberingAfterBreak="0">
    <w:nsid w:val="3862453F"/>
    <w:multiLevelType w:val="multilevel"/>
    <w:tmpl w:val="7DBC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A005028"/>
    <w:multiLevelType w:val="hybridMultilevel"/>
    <w:tmpl w:val="6B726248"/>
    <w:lvl w:ilvl="0" w:tplc="FFFFFFFF">
      <w:start w:val="1"/>
      <w:numFmt w:val="decimal"/>
      <w:lvlText w:val="(%1)"/>
      <w:lvlJc w:val="left"/>
      <w:pPr>
        <w:ind w:left="1440" w:hanging="360"/>
      </w:pPr>
      <w:rPr>
        <w:rFonts w:hint="default"/>
        <w:color w:val="auto"/>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39" w15:restartNumberingAfterBreak="0">
    <w:nsid w:val="3ADE166E"/>
    <w:multiLevelType w:val="hybridMultilevel"/>
    <w:tmpl w:val="46D836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DD5043"/>
    <w:multiLevelType w:val="hybridMultilevel"/>
    <w:tmpl w:val="6A9680C6"/>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1" w15:restartNumberingAfterBreak="0">
    <w:nsid w:val="3CEFFD0B"/>
    <w:multiLevelType w:val="multilevel"/>
    <w:tmpl w:val="66BE17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EFC0060"/>
    <w:multiLevelType w:val="multilevel"/>
    <w:tmpl w:val="289E9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047ED9F"/>
    <w:multiLevelType w:val="hybridMultilevel"/>
    <w:tmpl w:val="429E2568"/>
    <w:lvl w:ilvl="0" w:tplc="80408018">
      <w:start w:val="1"/>
      <w:numFmt w:val="upperRoman"/>
      <w:lvlText w:val="(%1)"/>
      <w:lvlJc w:val="right"/>
      <w:pPr>
        <w:ind w:left="1080" w:hanging="360"/>
      </w:pPr>
    </w:lvl>
    <w:lvl w:ilvl="1" w:tplc="98C07F6C">
      <w:start w:val="1"/>
      <w:numFmt w:val="lowerLetter"/>
      <w:lvlText w:val="%2."/>
      <w:lvlJc w:val="left"/>
      <w:pPr>
        <w:ind w:left="1800" w:hanging="360"/>
      </w:pPr>
    </w:lvl>
    <w:lvl w:ilvl="2" w:tplc="ED86F636">
      <w:start w:val="1"/>
      <w:numFmt w:val="lowerRoman"/>
      <w:lvlText w:val="%3."/>
      <w:lvlJc w:val="right"/>
      <w:pPr>
        <w:ind w:left="2520" w:hanging="180"/>
      </w:pPr>
    </w:lvl>
    <w:lvl w:ilvl="3" w:tplc="1D10538C">
      <w:start w:val="1"/>
      <w:numFmt w:val="decimal"/>
      <w:lvlText w:val="%4."/>
      <w:lvlJc w:val="left"/>
      <w:pPr>
        <w:ind w:left="3240" w:hanging="360"/>
      </w:pPr>
    </w:lvl>
    <w:lvl w:ilvl="4" w:tplc="972C070C">
      <w:start w:val="1"/>
      <w:numFmt w:val="lowerLetter"/>
      <w:lvlText w:val="%5."/>
      <w:lvlJc w:val="left"/>
      <w:pPr>
        <w:ind w:left="3960" w:hanging="360"/>
      </w:pPr>
    </w:lvl>
    <w:lvl w:ilvl="5" w:tplc="BB2E6CAC">
      <w:start w:val="1"/>
      <w:numFmt w:val="lowerRoman"/>
      <w:lvlText w:val="%6."/>
      <w:lvlJc w:val="right"/>
      <w:pPr>
        <w:ind w:left="4680" w:hanging="180"/>
      </w:pPr>
    </w:lvl>
    <w:lvl w:ilvl="6" w:tplc="714E20DE">
      <w:start w:val="1"/>
      <w:numFmt w:val="decimal"/>
      <w:lvlText w:val="%7."/>
      <w:lvlJc w:val="left"/>
      <w:pPr>
        <w:ind w:left="5400" w:hanging="360"/>
      </w:pPr>
    </w:lvl>
    <w:lvl w:ilvl="7" w:tplc="40544E30">
      <w:start w:val="1"/>
      <w:numFmt w:val="lowerLetter"/>
      <w:lvlText w:val="%8."/>
      <w:lvlJc w:val="left"/>
      <w:pPr>
        <w:ind w:left="6120" w:hanging="360"/>
      </w:pPr>
    </w:lvl>
    <w:lvl w:ilvl="8" w:tplc="E2009DE2">
      <w:start w:val="1"/>
      <w:numFmt w:val="lowerRoman"/>
      <w:lvlText w:val="%9."/>
      <w:lvlJc w:val="right"/>
      <w:pPr>
        <w:ind w:left="6840" w:hanging="180"/>
      </w:pPr>
    </w:lvl>
  </w:abstractNum>
  <w:abstractNum w:abstractNumId="44" w15:restartNumberingAfterBreak="0">
    <w:nsid w:val="41CA1AD8"/>
    <w:multiLevelType w:val="multilevel"/>
    <w:tmpl w:val="F62A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2B859B1"/>
    <w:multiLevelType w:val="multilevel"/>
    <w:tmpl w:val="5C4C3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33F0E6D"/>
    <w:multiLevelType w:val="hybridMultilevel"/>
    <w:tmpl w:val="4A32C53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437C3B37"/>
    <w:multiLevelType w:val="hybridMultilevel"/>
    <w:tmpl w:val="2E0ABEC6"/>
    <w:lvl w:ilvl="0" w:tplc="092080EA">
      <w:start w:val="1"/>
      <w:numFmt w:val="upperLetter"/>
      <w:lvlText w:val="(%1)"/>
      <w:lvlJc w:val="left"/>
      <w:pPr>
        <w:ind w:left="390" w:hanging="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5824463"/>
    <w:multiLevelType w:val="multilevel"/>
    <w:tmpl w:val="A1B6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7361E73"/>
    <w:multiLevelType w:val="multilevel"/>
    <w:tmpl w:val="C22CA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7751542"/>
    <w:multiLevelType w:val="multilevel"/>
    <w:tmpl w:val="54B067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779309E"/>
    <w:multiLevelType w:val="multilevel"/>
    <w:tmpl w:val="ACA267F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2" w15:restartNumberingAfterBreak="0">
    <w:nsid w:val="481904B8"/>
    <w:multiLevelType w:val="multilevel"/>
    <w:tmpl w:val="EEE213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8866ED1"/>
    <w:multiLevelType w:val="hybridMultilevel"/>
    <w:tmpl w:val="5C103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8FB0E91"/>
    <w:multiLevelType w:val="hybridMultilevel"/>
    <w:tmpl w:val="2CBC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9284334"/>
    <w:multiLevelType w:val="hybridMultilevel"/>
    <w:tmpl w:val="6B726248"/>
    <w:lvl w:ilvl="0" w:tplc="FFFFFFFF">
      <w:start w:val="1"/>
      <w:numFmt w:val="decimal"/>
      <w:lvlText w:val="(%1)"/>
      <w:lvlJc w:val="left"/>
      <w:pPr>
        <w:ind w:left="117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25E241F"/>
    <w:multiLevelType w:val="multilevel"/>
    <w:tmpl w:val="DF5414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2A4305E"/>
    <w:multiLevelType w:val="multilevel"/>
    <w:tmpl w:val="731C6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2A836FC"/>
    <w:multiLevelType w:val="hybridMultilevel"/>
    <w:tmpl w:val="E06C22A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89C4925C">
      <w:start w:val="3"/>
      <w:numFmt w:val="bullet"/>
      <w:lvlText w:val="-"/>
      <w:lvlJc w:val="left"/>
      <w:pPr>
        <w:ind w:left="3240" w:hanging="360"/>
      </w:pPr>
      <w:rPr>
        <w:rFonts w:ascii="Nirmala UI Semilight" w:eastAsiaTheme="minorHAnsi" w:hAnsi="Nirmala UI Semilight" w:cs="Nirmala UI Semilight"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538A1F2A"/>
    <w:multiLevelType w:val="hybridMultilevel"/>
    <w:tmpl w:val="8B5245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0" w15:restartNumberingAfterBreak="0">
    <w:nsid w:val="539B2DDC"/>
    <w:multiLevelType w:val="hybridMultilevel"/>
    <w:tmpl w:val="1452ED9E"/>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1" w15:restartNumberingAfterBreak="0">
    <w:nsid w:val="5433728B"/>
    <w:multiLevelType w:val="multilevel"/>
    <w:tmpl w:val="1618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4D237F6"/>
    <w:multiLevelType w:val="hybridMultilevel"/>
    <w:tmpl w:val="858CD17C"/>
    <w:lvl w:ilvl="0" w:tplc="FFFFFFFF">
      <w:start w:val="1"/>
      <w:numFmt w:val="decimal"/>
      <w:lvlText w:val="(%1)"/>
      <w:lvlJc w:val="left"/>
      <w:pPr>
        <w:ind w:left="1260" w:hanging="360"/>
      </w:pPr>
      <w:rPr>
        <w:rFonts w:hint="default"/>
        <w:color w:val="auto"/>
      </w:rPr>
    </w:lvl>
    <w:lvl w:ilvl="1" w:tplc="FFFFFFFF">
      <w:start w:val="1"/>
      <w:numFmt w:val="lowerLetter"/>
      <w:lvlText w:val="%2."/>
      <w:lvlJc w:val="left"/>
      <w:pPr>
        <w:ind w:left="2250" w:hanging="360"/>
      </w:pPr>
    </w:lvl>
    <w:lvl w:ilvl="2" w:tplc="FFFFFFFF">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63" w15:restartNumberingAfterBreak="0">
    <w:nsid w:val="557F39F8"/>
    <w:multiLevelType w:val="multilevel"/>
    <w:tmpl w:val="A05083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58EE0B5"/>
    <w:multiLevelType w:val="hybridMultilevel"/>
    <w:tmpl w:val="07A48328"/>
    <w:lvl w:ilvl="0" w:tplc="2D520678">
      <w:start w:val="1"/>
      <w:numFmt w:val="bullet"/>
      <w:lvlText w:val=""/>
      <w:lvlJc w:val="left"/>
      <w:pPr>
        <w:ind w:left="360" w:hanging="360"/>
      </w:pPr>
      <w:rPr>
        <w:rFonts w:ascii="Symbol" w:hAnsi="Symbol" w:hint="default"/>
      </w:rPr>
    </w:lvl>
    <w:lvl w:ilvl="1" w:tplc="ABCC4C6A">
      <w:start w:val="1"/>
      <w:numFmt w:val="bullet"/>
      <w:lvlText w:val="o"/>
      <w:lvlJc w:val="left"/>
      <w:pPr>
        <w:ind w:left="1080" w:hanging="360"/>
      </w:pPr>
      <w:rPr>
        <w:rFonts w:ascii="Courier New" w:hAnsi="Courier New" w:hint="default"/>
      </w:rPr>
    </w:lvl>
    <w:lvl w:ilvl="2" w:tplc="D482072A">
      <w:start w:val="1"/>
      <w:numFmt w:val="bullet"/>
      <w:lvlText w:val=""/>
      <w:lvlJc w:val="left"/>
      <w:pPr>
        <w:ind w:left="1800" w:hanging="360"/>
      </w:pPr>
      <w:rPr>
        <w:rFonts w:ascii="Wingdings" w:hAnsi="Wingdings" w:hint="default"/>
      </w:rPr>
    </w:lvl>
    <w:lvl w:ilvl="3" w:tplc="5204D2B2">
      <w:start w:val="1"/>
      <w:numFmt w:val="bullet"/>
      <w:lvlText w:val=""/>
      <w:lvlJc w:val="left"/>
      <w:pPr>
        <w:ind w:left="2520" w:hanging="360"/>
      </w:pPr>
      <w:rPr>
        <w:rFonts w:ascii="Symbol" w:hAnsi="Symbol" w:hint="default"/>
      </w:rPr>
    </w:lvl>
    <w:lvl w:ilvl="4" w:tplc="9E2804AC">
      <w:start w:val="1"/>
      <w:numFmt w:val="bullet"/>
      <w:lvlText w:val="o"/>
      <w:lvlJc w:val="left"/>
      <w:pPr>
        <w:ind w:left="3240" w:hanging="360"/>
      </w:pPr>
      <w:rPr>
        <w:rFonts w:ascii="Courier New" w:hAnsi="Courier New" w:hint="default"/>
      </w:rPr>
    </w:lvl>
    <w:lvl w:ilvl="5" w:tplc="BDCA6CB8">
      <w:start w:val="1"/>
      <w:numFmt w:val="bullet"/>
      <w:lvlText w:val=""/>
      <w:lvlJc w:val="left"/>
      <w:pPr>
        <w:ind w:left="3960" w:hanging="360"/>
      </w:pPr>
      <w:rPr>
        <w:rFonts w:ascii="Wingdings" w:hAnsi="Wingdings" w:hint="default"/>
      </w:rPr>
    </w:lvl>
    <w:lvl w:ilvl="6" w:tplc="6AC2F958">
      <w:start w:val="1"/>
      <w:numFmt w:val="bullet"/>
      <w:lvlText w:val=""/>
      <w:lvlJc w:val="left"/>
      <w:pPr>
        <w:ind w:left="4680" w:hanging="360"/>
      </w:pPr>
      <w:rPr>
        <w:rFonts w:ascii="Symbol" w:hAnsi="Symbol" w:hint="default"/>
      </w:rPr>
    </w:lvl>
    <w:lvl w:ilvl="7" w:tplc="45B0F628">
      <w:start w:val="1"/>
      <w:numFmt w:val="bullet"/>
      <w:lvlText w:val="o"/>
      <w:lvlJc w:val="left"/>
      <w:pPr>
        <w:ind w:left="5400" w:hanging="360"/>
      </w:pPr>
      <w:rPr>
        <w:rFonts w:ascii="Courier New" w:hAnsi="Courier New" w:hint="default"/>
      </w:rPr>
    </w:lvl>
    <w:lvl w:ilvl="8" w:tplc="2654B836">
      <w:start w:val="1"/>
      <w:numFmt w:val="bullet"/>
      <w:lvlText w:val=""/>
      <w:lvlJc w:val="left"/>
      <w:pPr>
        <w:ind w:left="6120" w:hanging="360"/>
      </w:pPr>
      <w:rPr>
        <w:rFonts w:ascii="Wingdings" w:hAnsi="Wingdings" w:hint="default"/>
      </w:rPr>
    </w:lvl>
  </w:abstractNum>
  <w:abstractNum w:abstractNumId="65" w15:restartNumberingAfterBreak="0">
    <w:nsid w:val="55B82D08"/>
    <w:multiLevelType w:val="hybridMultilevel"/>
    <w:tmpl w:val="AEBE1F1A"/>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58DD5834"/>
    <w:multiLevelType w:val="hybridMultilevel"/>
    <w:tmpl w:val="093A4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983AA1B"/>
    <w:multiLevelType w:val="multilevel"/>
    <w:tmpl w:val="1CDC72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9F24624"/>
    <w:multiLevelType w:val="multilevel"/>
    <w:tmpl w:val="E3E453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AC7589C"/>
    <w:multiLevelType w:val="hybridMultilevel"/>
    <w:tmpl w:val="47363E7A"/>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0" w15:restartNumberingAfterBreak="0">
    <w:nsid w:val="5B157FFB"/>
    <w:multiLevelType w:val="multilevel"/>
    <w:tmpl w:val="4626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C4D512F"/>
    <w:multiLevelType w:val="multilevel"/>
    <w:tmpl w:val="69FE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C673DE2"/>
    <w:multiLevelType w:val="multilevel"/>
    <w:tmpl w:val="2A0EA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CAA5CD7"/>
    <w:multiLevelType w:val="multilevel"/>
    <w:tmpl w:val="95F6A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D6A3AF6"/>
    <w:multiLevelType w:val="multilevel"/>
    <w:tmpl w:val="06AA2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0D879C1"/>
    <w:multiLevelType w:val="multilevel"/>
    <w:tmpl w:val="588A2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12F1FFC"/>
    <w:multiLevelType w:val="multilevel"/>
    <w:tmpl w:val="AC6A0AD4"/>
    <w:lvl w:ilvl="0">
      <w:start w:val="1"/>
      <w:numFmt w:val="bullet"/>
      <w:lvlText w:val=""/>
      <w:lvlJc w:val="left"/>
      <w:pPr>
        <w:tabs>
          <w:tab w:val="num" w:pos="720"/>
        </w:tabs>
        <w:ind w:left="720" w:hanging="360"/>
      </w:pPr>
      <w:rPr>
        <w:rFonts w:ascii="Symbol" w:hAnsi="Symbol" w:hint="default"/>
        <w:sz w:val="20"/>
      </w:rPr>
    </w:lvl>
    <w:lvl w:ilv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14429E5"/>
    <w:multiLevelType w:val="multilevel"/>
    <w:tmpl w:val="FF8A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20A7352"/>
    <w:multiLevelType w:val="multilevel"/>
    <w:tmpl w:val="E868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2B75CC6"/>
    <w:multiLevelType w:val="multilevel"/>
    <w:tmpl w:val="BF20B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3883382"/>
    <w:multiLevelType w:val="hybridMultilevel"/>
    <w:tmpl w:val="77B627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1" w15:restartNumberingAfterBreak="0">
    <w:nsid w:val="65FAEBC9"/>
    <w:multiLevelType w:val="multilevel"/>
    <w:tmpl w:val="9CBA0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6E82D78"/>
    <w:multiLevelType w:val="hybridMultilevel"/>
    <w:tmpl w:val="06AA0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791030C"/>
    <w:multiLevelType w:val="hybridMultilevel"/>
    <w:tmpl w:val="A5FC4ED2"/>
    <w:lvl w:ilvl="0" w:tplc="FFFFFFFF">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FFFFFFFF">
      <w:start w:val="3"/>
      <w:numFmt w:val="bullet"/>
      <w:lvlText w:val="-"/>
      <w:lvlJc w:val="left"/>
      <w:pPr>
        <w:ind w:left="3240" w:hanging="360"/>
      </w:pPr>
      <w:rPr>
        <w:rFonts w:ascii="Nirmala UI Semilight" w:eastAsiaTheme="minorHAnsi" w:hAnsi="Nirmala UI Semilight" w:cs="Nirmala UI Semilight"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4" w15:restartNumberingAfterBreak="0">
    <w:nsid w:val="69070E61"/>
    <w:multiLevelType w:val="multilevel"/>
    <w:tmpl w:val="8532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ABC0C0D"/>
    <w:multiLevelType w:val="hybridMultilevel"/>
    <w:tmpl w:val="F716C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BF02809"/>
    <w:multiLevelType w:val="hybridMultilevel"/>
    <w:tmpl w:val="D158BFDA"/>
    <w:lvl w:ilvl="0" w:tplc="FFFFFFFF">
      <w:start w:val="1"/>
      <w:numFmt w:val="upperLetter"/>
      <w:lvlText w:val="(%1)"/>
      <w:lvlJc w:val="left"/>
      <w:pPr>
        <w:ind w:left="2970" w:hanging="360"/>
      </w:pPr>
      <w:rPr>
        <w:rFonts w:hint="default"/>
      </w:r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87" w15:restartNumberingAfterBreak="0">
    <w:nsid w:val="73583EB2"/>
    <w:multiLevelType w:val="multilevel"/>
    <w:tmpl w:val="F7E82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66935A2"/>
    <w:multiLevelType w:val="multilevel"/>
    <w:tmpl w:val="C85ABF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79B3AFD"/>
    <w:multiLevelType w:val="multilevel"/>
    <w:tmpl w:val="7B76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924383A"/>
    <w:multiLevelType w:val="multilevel"/>
    <w:tmpl w:val="B67C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B6C40B8"/>
    <w:multiLevelType w:val="multilevel"/>
    <w:tmpl w:val="0464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B83A1E9"/>
    <w:multiLevelType w:val="multilevel"/>
    <w:tmpl w:val="80443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F041434"/>
    <w:multiLevelType w:val="multilevel"/>
    <w:tmpl w:val="7F765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F4E3728"/>
    <w:multiLevelType w:val="multilevel"/>
    <w:tmpl w:val="8FB6CE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7FEB6F13"/>
    <w:multiLevelType w:val="multilevel"/>
    <w:tmpl w:val="263886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14950285">
    <w:abstractNumId w:val="94"/>
  </w:num>
  <w:num w:numId="2" w16cid:durableId="742340394">
    <w:abstractNumId w:val="36"/>
  </w:num>
  <w:num w:numId="3" w16cid:durableId="1564414972">
    <w:abstractNumId w:val="55"/>
  </w:num>
  <w:num w:numId="4" w16cid:durableId="502625990">
    <w:abstractNumId w:val="5"/>
  </w:num>
  <w:num w:numId="5" w16cid:durableId="306783831">
    <w:abstractNumId w:val="62"/>
  </w:num>
  <w:num w:numId="6" w16cid:durableId="618682730">
    <w:abstractNumId w:val="86"/>
  </w:num>
  <w:num w:numId="7" w16cid:durableId="1406144968">
    <w:abstractNumId w:val="38"/>
  </w:num>
  <w:num w:numId="8" w16cid:durableId="1667367281">
    <w:abstractNumId w:val="3"/>
  </w:num>
  <w:num w:numId="9" w16cid:durableId="1219124133">
    <w:abstractNumId w:val="47"/>
  </w:num>
  <w:num w:numId="10" w16cid:durableId="1992441613">
    <w:abstractNumId w:val="80"/>
  </w:num>
  <w:num w:numId="11" w16cid:durableId="235365901">
    <w:abstractNumId w:val="59"/>
  </w:num>
  <w:num w:numId="12" w16cid:durableId="1509372545">
    <w:abstractNumId w:val="79"/>
  </w:num>
  <w:num w:numId="13" w16cid:durableId="1860503066">
    <w:abstractNumId w:val="51"/>
  </w:num>
  <w:num w:numId="14" w16cid:durableId="201358602">
    <w:abstractNumId w:val="49"/>
  </w:num>
  <w:num w:numId="15" w16cid:durableId="828252923">
    <w:abstractNumId w:val="31"/>
  </w:num>
  <w:num w:numId="16" w16cid:durableId="1113475266">
    <w:abstractNumId w:val="22"/>
  </w:num>
  <w:num w:numId="17" w16cid:durableId="489641659">
    <w:abstractNumId w:val="87"/>
  </w:num>
  <w:num w:numId="18" w16cid:durableId="1541474840">
    <w:abstractNumId w:val="57"/>
  </w:num>
  <w:num w:numId="19" w16cid:durableId="2053141947">
    <w:abstractNumId w:val="44"/>
  </w:num>
  <w:num w:numId="20" w16cid:durableId="903880842">
    <w:abstractNumId w:val="25"/>
  </w:num>
  <w:num w:numId="21" w16cid:durableId="1180198090">
    <w:abstractNumId w:val="27"/>
  </w:num>
  <w:num w:numId="22" w16cid:durableId="1836141130">
    <w:abstractNumId w:val="0"/>
  </w:num>
  <w:num w:numId="23" w16cid:durableId="710610890">
    <w:abstractNumId w:val="21"/>
  </w:num>
  <w:num w:numId="24" w16cid:durableId="2112508948">
    <w:abstractNumId w:val="12"/>
  </w:num>
  <w:num w:numId="25" w16cid:durableId="1191869218">
    <w:abstractNumId w:val="9"/>
  </w:num>
  <w:num w:numId="26" w16cid:durableId="883642026">
    <w:abstractNumId w:val="89"/>
  </w:num>
  <w:num w:numId="27" w16cid:durableId="350029936">
    <w:abstractNumId w:val="14"/>
  </w:num>
  <w:num w:numId="28" w16cid:durableId="1797211767">
    <w:abstractNumId w:val="61"/>
  </w:num>
  <w:num w:numId="29" w16cid:durableId="1090849889">
    <w:abstractNumId w:val="71"/>
  </w:num>
  <w:num w:numId="30" w16cid:durableId="580019352">
    <w:abstractNumId w:val="90"/>
  </w:num>
  <w:num w:numId="31" w16cid:durableId="43649056">
    <w:abstractNumId w:val="29"/>
  </w:num>
  <w:num w:numId="32" w16cid:durableId="508642632">
    <w:abstractNumId w:val="78"/>
  </w:num>
  <w:num w:numId="33" w16cid:durableId="1229921860">
    <w:abstractNumId w:val="19"/>
  </w:num>
  <w:num w:numId="34" w16cid:durableId="1399594435">
    <w:abstractNumId w:val="70"/>
  </w:num>
  <w:num w:numId="35" w16cid:durableId="1557888600">
    <w:abstractNumId w:val="23"/>
  </w:num>
  <w:num w:numId="36" w16cid:durableId="855190732">
    <w:abstractNumId w:val="48"/>
  </w:num>
  <w:num w:numId="37" w16cid:durableId="85077656">
    <w:abstractNumId w:val="45"/>
  </w:num>
  <w:num w:numId="38" w16cid:durableId="1727412482">
    <w:abstractNumId w:val="75"/>
  </w:num>
  <w:num w:numId="39" w16cid:durableId="547376232">
    <w:abstractNumId w:val="42"/>
  </w:num>
  <w:num w:numId="40" w16cid:durableId="1020621363">
    <w:abstractNumId w:val="37"/>
  </w:num>
  <w:num w:numId="41" w16cid:durableId="481627907">
    <w:abstractNumId w:val="84"/>
  </w:num>
  <w:num w:numId="42" w16cid:durableId="1677075446">
    <w:abstractNumId w:val="93"/>
  </w:num>
  <w:num w:numId="43" w16cid:durableId="1185943097">
    <w:abstractNumId w:val="77"/>
  </w:num>
  <w:num w:numId="44" w16cid:durableId="1255818220">
    <w:abstractNumId w:val="76"/>
  </w:num>
  <w:num w:numId="45" w16cid:durableId="403184889">
    <w:abstractNumId w:val="39"/>
  </w:num>
  <w:num w:numId="46" w16cid:durableId="267658460">
    <w:abstractNumId w:val="28"/>
  </w:num>
  <w:num w:numId="47" w16cid:durableId="110520018">
    <w:abstractNumId w:val="64"/>
  </w:num>
  <w:num w:numId="48" w16cid:durableId="1087574810">
    <w:abstractNumId w:val="34"/>
  </w:num>
  <w:num w:numId="49" w16cid:durableId="1993948940">
    <w:abstractNumId w:val="30"/>
  </w:num>
  <w:num w:numId="50" w16cid:durableId="404686845">
    <w:abstractNumId w:val="26"/>
  </w:num>
  <w:num w:numId="51" w16cid:durableId="423956798">
    <w:abstractNumId w:val="43"/>
  </w:num>
  <w:num w:numId="52" w16cid:durableId="1658993965">
    <w:abstractNumId w:val="7"/>
  </w:num>
  <w:num w:numId="53" w16cid:durableId="223761372">
    <w:abstractNumId w:val="65"/>
  </w:num>
  <w:num w:numId="54" w16cid:durableId="1241476428">
    <w:abstractNumId w:val="54"/>
  </w:num>
  <w:num w:numId="55" w16cid:durableId="1361083108">
    <w:abstractNumId w:val="72"/>
  </w:num>
  <w:num w:numId="56" w16cid:durableId="22832514">
    <w:abstractNumId w:val="32"/>
  </w:num>
  <w:num w:numId="57" w16cid:durableId="1998995671">
    <w:abstractNumId w:val="92"/>
  </w:num>
  <w:num w:numId="58" w16cid:durableId="1539470529">
    <w:abstractNumId w:val="11"/>
  </w:num>
  <w:num w:numId="59" w16cid:durableId="1656759951">
    <w:abstractNumId w:val="35"/>
  </w:num>
  <w:num w:numId="60" w16cid:durableId="1530026515">
    <w:abstractNumId w:val="95"/>
  </w:num>
  <w:num w:numId="61" w16cid:durableId="1086850877">
    <w:abstractNumId w:val="81"/>
  </w:num>
  <w:num w:numId="62" w16cid:durableId="1788543500">
    <w:abstractNumId w:val="56"/>
  </w:num>
  <w:num w:numId="63" w16cid:durableId="1513837654">
    <w:abstractNumId w:val="73"/>
  </w:num>
  <w:num w:numId="64" w16cid:durableId="1281762836">
    <w:abstractNumId w:val="50"/>
  </w:num>
  <w:num w:numId="65" w16cid:durableId="371659636">
    <w:abstractNumId w:val="52"/>
  </w:num>
  <w:num w:numId="66" w16cid:durableId="1512990357">
    <w:abstractNumId w:val="13"/>
  </w:num>
  <w:num w:numId="67" w16cid:durableId="1657487782">
    <w:abstractNumId w:val="67"/>
  </w:num>
  <w:num w:numId="68" w16cid:durableId="150685005">
    <w:abstractNumId w:val="88"/>
  </w:num>
  <w:num w:numId="69" w16cid:durableId="39063113">
    <w:abstractNumId w:val="41"/>
  </w:num>
  <w:num w:numId="70" w16cid:durableId="1187403456">
    <w:abstractNumId w:val="1"/>
  </w:num>
  <w:num w:numId="71" w16cid:durableId="1384480115">
    <w:abstractNumId w:val="63"/>
  </w:num>
  <w:num w:numId="72" w16cid:durableId="376202179">
    <w:abstractNumId w:val="20"/>
  </w:num>
  <w:num w:numId="73" w16cid:durableId="2133933959">
    <w:abstractNumId w:val="68"/>
  </w:num>
  <w:num w:numId="74" w16cid:durableId="1523666697">
    <w:abstractNumId w:val="74"/>
  </w:num>
  <w:num w:numId="75" w16cid:durableId="362556474">
    <w:abstractNumId w:val="58"/>
  </w:num>
  <w:num w:numId="76" w16cid:durableId="1648045951">
    <w:abstractNumId w:val="15"/>
  </w:num>
  <w:num w:numId="77" w16cid:durableId="134761109">
    <w:abstractNumId w:val="60"/>
  </w:num>
  <w:num w:numId="78" w16cid:durableId="1315716007">
    <w:abstractNumId w:val="40"/>
  </w:num>
  <w:num w:numId="79" w16cid:durableId="2118131607">
    <w:abstractNumId w:val="18"/>
  </w:num>
  <w:num w:numId="80" w16cid:durableId="495997501">
    <w:abstractNumId w:val="46"/>
  </w:num>
  <w:num w:numId="81" w16cid:durableId="766465957">
    <w:abstractNumId w:val="10"/>
  </w:num>
  <w:num w:numId="82" w16cid:durableId="1605965793">
    <w:abstractNumId w:val="69"/>
  </w:num>
  <w:num w:numId="83" w16cid:durableId="1813981010">
    <w:abstractNumId w:val="6"/>
  </w:num>
  <w:num w:numId="84" w16cid:durableId="1111585617">
    <w:abstractNumId w:val="8"/>
  </w:num>
  <w:num w:numId="85" w16cid:durableId="1754275845">
    <w:abstractNumId w:val="17"/>
  </w:num>
  <w:num w:numId="86" w16cid:durableId="348021501">
    <w:abstractNumId w:val="83"/>
  </w:num>
  <w:num w:numId="87" w16cid:durableId="64302838">
    <w:abstractNumId w:val="2"/>
  </w:num>
  <w:num w:numId="88" w16cid:durableId="368606697">
    <w:abstractNumId w:val="24"/>
  </w:num>
  <w:num w:numId="89" w16cid:durableId="22900445">
    <w:abstractNumId w:val="82"/>
  </w:num>
  <w:num w:numId="90" w16cid:durableId="652755337">
    <w:abstractNumId w:val="66"/>
  </w:num>
  <w:num w:numId="91" w16cid:durableId="1441300307">
    <w:abstractNumId w:val="85"/>
  </w:num>
  <w:num w:numId="92" w16cid:durableId="505633635">
    <w:abstractNumId w:val="16"/>
  </w:num>
  <w:num w:numId="93" w16cid:durableId="692918483">
    <w:abstractNumId w:val="91"/>
  </w:num>
  <w:num w:numId="94" w16cid:durableId="1940404778">
    <w:abstractNumId w:val="4"/>
  </w:num>
  <w:num w:numId="95" w16cid:durableId="332682510">
    <w:abstractNumId w:val="33"/>
  </w:num>
  <w:num w:numId="96" w16cid:durableId="210459461">
    <w:abstractNumId w:val="5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3A9674"/>
    <w:rsid w:val="00004349"/>
    <w:rsid w:val="00004C07"/>
    <w:rsid w:val="00005D80"/>
    <w:rsid w:val="00006C74"/>
    <w:rsid w:val="00011A26"/>
    <w:rsid w:val="0001259F"/>
    <w:rsid w:val="00014215"/>
    <w:rsid w:val="00015DFB"/>
    <w:rsid w:val="00016218"/>
    <w:rsid w:val="00020BC6"/>
    <w:rsid w:val="00022719"/>
    <w:rsid w:val="00027F81"/>
    <w:rsid w:val="000310C5"/>
    <w:rsid w:val="00031196"/>
    <w:rsid w:val="00032919"/>
    <w:rsid w:val="00033062"/>
    <w:rsid w:val="0003532A"/>
    <w:rsid w:val="00042227"/>
    <w:rsid w:val="00044940"/>
    <w:rsid w:val="00050AA5"/>
    <w:rsid w:val="00051A50"/>
    <w:rsid w:val="00052B56"/>
    <w:rsid w:val="000537B1"/>
    <w:rsid w:val="000603BB"/>
    <w:rsid w:val="00061086"/>
    <w:rsid w:val="00061343"/>
    <w:rsid w:val="000616A7"/>
    <w:rsid w:val="00061B64"/>
    <w:rsid w:val="00061FE0"/>
    <w:rsid w:val="00064EBF"/>
    <w:rsid w:val="00067BC8"/>
    <w:rsid w:val="000705A2"/>
    <w:rsid w:val="000709BD"/>
    <w:rsid w:val="0007100B"/>
    <w:rsid w:val="00071B20"/>
    <w:rsid w:val="00073FD4"/>
    <w:rsid w:val="00075157"/>
    <w:rsid w:val="00080F2C"/>
    <w:rsid w:val="00085B8B"/>
    <w:rsid w:val="000861BC"/>
    <w:rsid w:val="00086E93"/>
    <w:rsid w:val="0008767F"/>
    <w:rsid w:val="000909E1"/>
    <w:rsid w:val="00091589"/>
    <w:rsid w:val="00091BFA"/>
    <w:rsid w:val="0009379D"/>
    <w:rsid w:val="00093B01"/>
    <w:rsid w:val="00095C84"/>
    <w:rsid w:val="00096211"/>
    <w:rsid w:val="00097707"/>
    <w:rsid w:val="00097889"/>
    <w:rsid w:val="00097BB5"/>
    <w:rsid w:val="00097BBA"/>
    <w:rsid w:val="000A079E"/>
    <w:rsid w:val="000A18B2"/>
    <w:rsid w:val="000A3045"/>
    <w:rsid w:val="000A4A02"/>
    <w:rsid w:val="000A5040"/>
    <w:rsid w:val="000A7C8A"/>
    <w:rsid w:val="000B2E90"/>
    <w:rsid w:val="000B3DBE"/>
    <w:rsid w:val="000B5663"/>
    <w:rsid w:val="000B6025"/>
    <w:rsid w:val="000B6A5F"/>
    <w:rsid w:val="000C15A7"/>
    <w:rsid w:val="000C1AB3"/>
    <w:rsid w:val="000C1CCC"/>
    <w:rsid w:val="000C2F58"/>
    <w:rsid w:val="000C4528"/>
    <w:rsid w:val="000C6A3B"/>
    <w:rsid w:val="000C769E"/>
    <w:rsid w:val="000C7C0E"/>
    <w:rsid w:val="000D13E6"/>
    <w:rsid w:val="000D17A2"/>
    <w:rsid w:val="000D5640"/>
    <w:rsid w:val="000D604D"/>
    <w:rsid w:val="000E1B4C"/>
    <w:rsid w:val="000E30D6"/>
    <w:rsid w:val="000E3D0F"/>
    <w:rsid w:val="000E5625"/>
    <w:rsid w:val="000E5AA8"/>
    <w:rsid w:val="000E5B55"/>
    <w:rsid w:val="000E7E5A"/>
    <w:rsid w:val="000F0229"/>
    <w:rsid w:val="000F0443"/>
    <w:rsid w:val="000F5840"/>
    <w:rsid w:val="000F5A8A"/>
    <w:rsid w:val="000F672D"/>
    <w:rsid w:val="000F7998"/>
    <w:rsid w:val="00100CDC"/>
    <w:rsid w:val="00100E84"/>
    <w:rsid w:val="00101D2F"/>
    <w:rsid w:val="00101F6C"/>
    <w:rsid w:val="001023E5"/>
    <w:rsid w:val="00103B44"/>
    <w:rsid w:val="00103EFC"/>
    <w:rsid w:val="00105261"/>
    <w:rsid w:val="001060C8"/>
    <w:rsid w:val="00113397"/>
    <w:rsid w:val="00114611"/>
    <w:rsid w:val="00115234"/>
    <w:rsid w:val="001212E5"/>
    <w:rsid w:val="00124F45"/>
    <w:rsid w:val="001250A9"/>
    <w:rsid w:val="00125247"/>
    <w:rsid w:val="001322B0"/>
    <w:rsid w:val="001323DE"/>
    <w:rsid w:val="00132772"/>
    <w:rsid w:val="00134F10"/>
    <w:rsid w:val="00135F7A"/>
    <w:rsid w:val="00140AB7"/>
    <w:rsid w:val="00141216"/>
    <w:rsid w:val="00141E59"/>
    <w:rsid w:val="001429C0"/>
    <w:rsid w:val="001435C6"/>
    <w:rsid w:val="00144D16"/>
    <w:rsid w:val="0014544B"/>
    <w:rsid w:val="00145F0E"/>
    <w:rsid w:val="00146288"/>
    <w:rsid w:val="0014629F"/>
    <w:rsid w:val="0014657C"/>
    <w:rsid w:val="00147C15"/>
    <w:rsid w:val="00152FDC"/>
    <w:rsid w:val="001530B0"/>
    <w:rsid w:val="001532AE"/>
    <w:rsid w:val="00153CBA"/>
    <w:rsid w:val="00155794"/>
    <w:rsid w:val="00157859"/>
    <w:rsid w:val="00162FCA"/>
    <w:rsid w:val="001643CC"/>
    <w:rsid w:val="001643D7"/>
    <w:rsid w:val="00164AAE"/>
    <w:rsid w:val="00165D8F"/>
    <w:rsid w:val="00166416"/>
    <w:rsid w:val="001676A3"/>
    <w:rsid w:val="00173BC8"/>
    <w:rsid w:val="0017412C"/>
    <w:rsid w:val="00174982"/>
    <w:rsid w:val="00175735"/>
    <w:rsid w:val="001768F1"/>
    <w:rsid w:val="001819DD"/>
    <w:rsid w:val="00182384"/>
    <w:rsid w:val="001833AF"/>
    <w:rsid w:val="00184B02"/>
    <w:rsid w:val="00185B3C"/>
    <w:rsid w:val="00187262"/>
    <w:rsid w:val="00187CFF"/>
    <w:rsid w:val="00195AAC"/>
    <w:rsid w:val="00197251"/>
    <w:rsid w:val="001A0A87"/>
    <w:rsid w:val="001A113F"/>
    <w:rsid w:val="001A3012"/>
    <w:rsid w:val="001A5591"/>
    <w:rsid w:val="001A5605"/>
    <w:rsid w:val="001A5BF9"/>
    <w:rsid w:val="001A74FC"/>
    <w:rsid w:val="001B1551"/>
    <w:rsid w:val="001B4302"/>
    <w:rsid w:val="001B639C"/>
    <w:rsid w:val="001C066F"/>
    <w:rsid w:val="001C428C"/>
    <w:rsid w:val="001C4644"/>
    <w:rsid w:val="001C71A5"/>
    <w:rsid w:val="001C7613"/>
    <w:rsid w:val="001D202F"/>
    <w:rsid w:val="001D3BAD"/>
    <w:rsid w:val="001D3C79"/>
    <w:rsid w:val="001D3F99"/>
    <w:rsid w:val="001D6EAE"/>
    <w:rsid w:val="001D77E5"/>
    <w:rsid w:val="001E1A2B"/>
    <w:rsid w:val="001E60E9"/>
    <w:rsid w:val="001E7170"/>
    <w:rsid w:val="001E7DFC"/>
    <w:rsid w:val="00202E10"/>
    <w:rsid w:val="00203A0F"/>
    <w:rsid w:val="00203B22"/>
    <w:rsid w:val="002048C2"/>
    <w:rsid w:val="00205168"/>
    <w:rsid w:val="00205460"/>
    <w:rsid w:val="002101CB"/>
    <w:rsid w:val="0021433C"/>
    <w:rsid w:val="00214ACB"/>
    <w:rsid w:val="00214BDD"/>
    <w:rsid w:val="0021647E"/>
    <w:rsid w:val="00220ABA"/>
    <w:rsid w:val="00223CFD"/>
    <w:rsid w:val="002244E2"/>
    <w:rsid w:val="00227012"/>
    <w:rsid w:val="00234A35"/>
    <w:rsid w:val="0023560D"/>
    <w:rsid w:val="00237A8E"/>
    <w:rsid w:val="00246843"/>
    <w:rsid w:val="00247785"/>
    <w:rsid w:val="002519B9"/>
    <w:rsid w:val="00251D00"/>
    <w:rsid w:val="00252934"/>
    <w:rsid w:val="002530D8"/>
    <w:rsid w:val="00254C27"/>
    <w:rsid w:val="002577C0"/>
    <w:rsid w:val="0026041D"/>
    <w:rsid w:val="00263956"/>
    <w:rsid w:val="00264814"/>
    <w:rsid w:val="00265BCA"/>
    <w:rsid w:val="00267B89"/>
    <w:rsid w:val="00271D52"/>
    <w:rsid w:val="002733E7"/>
    <w:rsid w:val="00273FFC"/>
    <w:rsid w:val="0027561B"/>
    <w:rsid w:val="0027634C"/>
    <w:rsid w:val="002771A9"/>
    <w:rsid w:val="002776A8"/>
    <w:rsid w:val="002820E1"/>
    <w:rsid w:val="00283261"/>
    <w:rsid w:val="0028368B"/>
    <w:rsid w:val="002838AF"/>
    <w:rsid w:val="002847D5"/>
    <w:rsid w:val="00286785"/>
    <w:rsid w:val="00290A46"/>
    <w:rsid w:val="00290A88"/>
    <w:rsid w:val="00292856"/>
    <w:rsid w:val="00294963"/>
    <w:rsid w:val="00295C51"/>
    <w:rsid w:val="0029677F"/>
    <w:rsid w:val="002967A6"/>
    <w:rsid w:val="00297834"/>
    <w:rsid w:val="002A2878"/>
    <w:rsid w:val="002A3D61"/>
    <w:rsid w:val="002A73EF"/>
    <w:rsid w:val="002A765C"/>
    <w:rsid w:val="002A79F1"/>
    <w:rsid w:val="002B2817"/>
    <w:rsid w:val="002B2BA1"/>
    <w:rsid w:val="002C3210"/>
    <w:rsid w:val="002C4FEF"/>
    <w:rsid w:val="002C5333"/>
    <w:rsid w:val="002D0B55"/>
    <w:rsid w:val="002D1922"/>
    <w:rsid w:val="002D420D"/>
    <w:rsid w:val="002D45D6"/>
    <w:rsid w:val="002D46F9"/>
    <w:rsid w:val="002D496D"/>
    <w:rsid w:val="002D6F7C"/>
    <w:rsid w:val="002E27D1"/>
    <w:rsid w:val="002E657F"/>
    <w:rsid w:val="002F4197"/>
    <w:rsid w:val="002F534D"/>
    <w:rsid w:val="002F5473"/>
    <w:rsid w:val="00300F60"/>
    <w:rsid w:val="003027B8"/>
    <w:rsid w:val="0030446C"/>
    <w:rsid w:val="00304E9E"/>
    <w:rsid w:val="003079AF"/>
    <w:rsid w:val="003104A7"/>
    <w:rsid w:val="00311BC8"/>
    <w:rsid w:val="0031274F"/>
    <w:rsid w:val="00314955"/>
    <w:rsid w:val="00315F85"/>
    <w:rsid w:val="00316184"/>
    <w:rsid w:val="003165E6"/>
    <w:rsid w:val="00317603"/>
    <w:rsid w:val="003214DC"/>
    <w:rsid w:val="00321647"/>
    <w:rsid w:val="00324C95"/>
    <w:rsid w:val="00325E66"/>
    <w:rsid w:val="003264BA"/>
    <w:rsid w:val="00332C97"/>
    <w:rsid w:val="00334955"/>
    <w:rsid w:val="003361AB"/>
    <w:rsid w:val="00340CDD"/>
    <w:rsid w:val="00343A43"/>
    <w:rsid w:val="003441FD"/>
    <w:rsid w:val="00344CBA"/>
    <w:rsid w:val="00344D30"/>
    <w:rsid w:val="00346513"/>
    <w:rsid w:val="003500A0"/>
    <w:rsid w:val="00350CD3"/>
    <w:rsid w:val="00353FA2"/>
    <w:rsid w:val="00355B23"/>
    <w:rsid w:val="00356496"/>
    <w:rsid w:val="003616E5"/>
    <w:rsid w:val="0036281D"/>
    <w:rsid w:val="003636EC"/>
    <w:rsid w:val="00364707"/>
    <w:rsid w:val="003667E6"/>
    <w:rsid w:val="00370D9D"/>
    <w:rsid w:val="00374402"/>
    <w:rsid w:val="003744CB"/>
    <w:rsid w:val="00374BA5"/>
    <w:rsid w:val="00376B52"/>
    <w:rsid w:val="003809C2"/>
    <w:rsid w:val="0038194C"/>
    <w:rsid w:val="00382BA7"/>
    <w:rsid w:val="00382EEF"/>
    <w:rsid w:val="003830DD"/>
    <w:rsid w:val="003867B6"/>
    <w:rsid w:val="00386CCC"/>
    <w:rsid w:val="00390AA9"/>
    <w:rsid w:val="00391AC7"/>
    <w:rsid w:val="00393E90"/>
    <w:rsid w:val="003948B7"/>
    <w:rsid w:val="0039769D"/>
    <w:rsid w:val="003A1D55"/>
    <w:rsid w:val="003A4A65"/>
    <w:rsid w:val="003A542A"/>
    <w:rsid w:val="003A6CD6"/>
    <w:rsid w:val="003B0156"/>
    <w:rsid w:val="003B07D3"/>
    <w:rsid w:val="003B349D"/>
    <w:rsid w:val="003B3A70"/>
    <w:rsid w:val="003B4E83"/>
    <w:rsid w:val="003B5D9C"/>
    <w:rsid w:val="003B7599"/>
    <w:rsid w:val="003C0639"/>
    <w:rsid w:val="003C30ED"/>
    <w:rsid w:val="003C3A3F"/>
    <w:rsid w:val="003C4BA0"/>
    <w:rsid w:val="003D2C53"/>
    <w:rsid w:val="003D4EAF"/>
    <w:rsid w:val="003D5C6D"/>
    <w:rsid w:val="003D62FD"/>
    <w:rsid w:val="003E037B"/>
    <w:rsid w:val="003E106B"/>
    <w:rsid w:val="003E4678"/>
    <w:rsid w:val="003E4C24"/>
    <w:rsid w:val="003E595A"/>
    <w:rsid w:val="003F0B03"/>
    <w:rsid w:val="003F28B9"/>
    <w:rsid w:val="003F2905"/>
    <w:rsid w:val="003F37E7"/>
    <w:rsid w:val="003F384F"/>
    <w:rsid w:val="0040100F"/>
    <w:rsid w:val="004026FD"/>
    <w:rsid w:val="00403D6B"/>
    <w:rsid w:val="00404CE9"/>
    <w:rsid w:val="004058CE"/>
    <w:rsid w:val="00406995"/>
    <w:rsid w:val="00410BEC"/>
    <w:rsid w:val="00411A2C"/>
    <w:rsid w:val="00411A58"/>
    <w:rsid w:val="00412B9C"/>
    <w:rsid w:val="00413AA7"/>
    <w:rsid w:val="00413B97"/>
    <w:rsid w:val="00415234"/>
    <w:rsid w:val="0041743B"/>
    <w:rsid w:val="00417637"/>
    <w:rsid w:val="00421F30"/>
    <w:rsid w:val="0042259C"/>
    <w:rsid w:val="004231A8"/>
    <w:rsid w:val="0042747F"/>
    <w:rsid w:val="00430704"/>
    <w:rsid w:val="00433EA3"/>
    <w:rsid w:val="00433F8D"/>
    <w:rsid w:val="00434555"/>
    <w:rsid w:val="00435513"/>
    <w:rsid w:val="00436BCE"/>
    <w:rsid w:val="00436BF0"/>
    <w:rsid w:val="00443B53"/>
    <w:rsid w:val="00444097"/>
    <w:rsid w:val="00450725"/>
    <w:rsid w:val="00451185"/>
    <w:rsid w:val="00451926"/>
    <w:rsid w:val="00451E78"/>
    <w:rsid w:val="00453840"/>
    <w:rsid w:val="00454D51"/>
    <w:rsid w:val="00456A52"/>
    <w:rsid w:val="00456F67"/>
    <w:rsid w:val="00457C21"/>
    <w:rsid w:val="004601F0"/>
    <w:rsid w:val="004635CF"/>
    <w:rsid w:val="00463FFD"/>
    <w:rsid w:val="00465470"/>
    <w:rsid w:val="0046619D"/>
    <w:rsid w:val="0047074A"/>
    <w:rsid w:val="00470B82"/>
    <w:rsid w:val="00473AFF"/>
    <w:rsid w:val="004742AA"/>
    <w:rsid w:val="00477A2A"/>
    <w:rsid w:val="004807D5"/>
    <w:rsid w:val="004808E7"/>
    <w:rsid w:val="00481E63"/>
    <w:rsid w:val="004841B3"/>
    <w:rsid w:val="00484841"/>
    <w:rsid w:val="00484AC1"/>
    <w:rsid w:val="0048510D"/>
    <w:rsid w:val="00486B19"/>
    <w:rsid w:val="004907ED"/>
    <w:rsid w:val="004911A5"/>
    <w:rsid w:val="00494378"/>
    <w:rsid w:val="004A11CB"/>
    <w:rsid w:val="004A11D7"/>
    <w:rsid w:val="004A170A"/>
    <w:rsid w:val="004A1FE8"/>
    <w:rsid w:val="004A2629"/>
    <w:rsid w:val="004A3051"/>
    <w:rsid w:val="004A50B4"/>
    <w:rsid w:val="004A5AF7"/>
    <w:rsid w:val="004A6D05"/>
    <w:rsid w:val="004B0602"/>
    <w:rsid w:val="004B10CE"/>
    <w:rsid w:val="004B5234"/>
    <w:rsid w:val="004C4DBE"/>
    <w:rsid w:val="004C5657"/>
    <w:rsid w:val="004C5E26"/>
    <w:rsid w:val="004C702D"/>
    <w:rsid w:val="004D152C"/>
    <w:rsid w:val="004D2C61"/>
    <w:rsid w:val="004D3284"/>
    <w:rsid w:val="004D3FA0"/>
    <w:rsid w:val="004D7380"/>
    <w:rsid w:val="004E2517"/>
    <w:rsid w:val="004E319A"/>
    <w:rsid w:val="004E4785"/>
    <w:rsid w:val="004E599D"/>
    <w:rsid w:val="004E5A4C"/>
    <w:rsid w:val="004F0546"/>
    <w:rsid w:val="004F113A"/>
    <w:rsid w:val="004F15EB"/>
    <w:rsid w:val="004F280C"/>
    <w:rsid w:val="004F40D2"/>
    <w:rsid w:val="004F4123"/>
    <w:rsid w:val="004F5440"/>
    <w:rsid w:val="004F5E15"/>
    <w:rsid w:val="004F5FC7"/>
    <w:rsid w:val="004F6AC4"/>
    <w:rsid w:val="00502273"/>
    <w:rsid w:val="005027EB"/>
    <w:rsid w:val="00504A71"/>
    <w:rsid w:val="00506F28"/>
    <w:rsid w:val="0051168A"/>
    <w:rsid w:val="00511BFE"/>
    <w:rsid w:val="0051321B"/>
    <w:rsid w:val="00515FE4"/>
    <w:rsid w:val="005161DB"/>
    <w:rsid w:val="00517423"/>
    <w:rsid w:val="00517D53"/>
    <w:rsid w:val="00517D67"/>
    <w:rsid w:val="00520B15"/>
    <w:rsid w:val="0052485D"/>
    <w:rsid w:val="005253E2"/>
    <w:rsid w:val="00526CAD"/>
    <w:rsid w:val="005376EF"/>
    <w:rsid w:val="005408A7"/>
    <w:rsid w:val="0054208A"/>
    <w:rsid w:val="0054236A"/>
    <w:rsid w:val="00542BCC"/>
    <w:rsid w:val="00543F21"/>
    <w:rsid w:val="00550378"/>
    <w:rsid w:val="00553AC6"/>
    <w:rsid w:val="005542CD"/>
    <w:rsid w:val="005560F9"/>
    <w:rsid w:val="00557628"/>
    <w:rsid w:val="00561B0E"/>
    <w:rsid w:val="0056221C"/>
    <w:rsid w:val="005624FF"/>
    <w:rsid w:val="00562966"/>
    <w:rsid w:val="005716E0"/>
    <w:rsid w:val="005720F1"/>
    <w:rsid w:val="00573260"/>
    <w:rsid w:val="00573D69"/>
    <w:rsid w:val="00575D59"/>
    <w:rsid w:val="00575E3E"/>
    <w:rsid w:val="0057664E"/>
    <w:rsid w:val="00582A51"/>
    <w:rsid w:val="00586285"/>
    <w:rsid w:val="00594353"/>
    <w:rsid w:val="005943E9"/>
    <w:rsid w:val="005952EF"/>
    <w:rsid w:val="005958B4"/>
    <w:rsid w:val="00596F16"/>
    <w:rsid w:val="005A2A17"/>
    <w:rsid w:val="005A4F41"/>
    <w:rsid w:val="005A52D3"/>
    <w:rsid w:val="005A621F"/>
    <w:rsid w:val="005A6B54"/>
    <w:rsid w:val="005A75E6"/>
    <w:rsid w:val="005B0C72"/>
    <w:rsid w:val="005B0DEF"/>
    <w:rsid w:val="005B2E7D"/>
    <w:rsid w:val="005C0CB0"/>
    <w:rsid w:val="005C149A"/>
    <w:rsid w:val="005C160E"/>
    <w:rsid w:val="005C1F93"/>
    <w:rsid w:val="005C53EF"/>
    <w:rsid w:val="005C607C"/>
    <w:rsid w:val="005C7F76"/>
    <w:rsid w:val="005D144A"/>
    <w:rsid w:val="005D16FB"/>
    <w:rsid w:val="005D1803"/>
    <w:rsid w:val="005D3997"/>
    <w:rsid w:val="005D59FB"/>
    <w:rsid w:val="005D619F"/>
    <w:rsid w:val="005D74DC"/>
    <w:rsid w:val="005E2EDA"/>
    <w:rsid w:val="005E39F9"/>
    <w:rsid w:val="005E4104"/>
    <w:rsid w:val="005F2BE9"/>
    <w:rsid w:val="005F33EE"/>
    <w:rsid w:val="005F74D4"/>
    <w:rsid w:val="005F79EA"/>
    <w:rsid w:val="005F7C3D"/>
    <w:rsid w:val="006008A2"/>
    <w:rsid w:val="0060211F"/>
    <w:rsid w:val="00602CBD"/>
    <w:rsid w:val="00602F01"/>
    <w:rsid w:val="00604584"/>
    <w:rsid w:val="00606C66"/>
    <w:rsid w:val="0060758C"/>
    <w:rsid w:val="006101F1"/>
    <w:rsid w:val="00610599"/>
    <w:rsid w:val="0061282E"/>
    <w:rsid w:val="00614B49"/>
    <w:rsid w:val="0061502E"/>
    <w:rsid w:val="0061569D"/>
    <w:rsid w:val="00615992"/>
    <w:rsid w:val="0061632D"/>
    <w:rsid w:val="00620F89"/>
    <w:rsid w:val="006215D6"/>
    <w:rsid w:val="00621C4B"/>
    <w:rsid w:val="00623161"/>
    <w:rsid w:val="0062452D"/>
    <w:rsid w:val="006247A6"/>
    <w:rsid w:val="00625DDF"/>
    <w:rsid w:val="00626CC1"/>
    <w:rsid w:val="00627A40"/>
    <w:rsid w:val="00630173"/>
    <w:rsid w:val="006307CD"/>
    <w:rsid w:val="00631F3E"/>
    <w:rsid w:val="006320B5"/>
    <w:rsid w:val="006344BC"/>
    <w:rsid w:val="00634DF8"/>
    <w:rsid w:val="0063565B"/>
    <w:rsid w:val="00642F8A"/>
    <w:rsid w:val="00643BCA"/>
    <w:rsid w:val="006447AE"/>
    <w:rsid w:val="00646A6C"/>
    <w:rsid w:val="00651CDC"/>
    <w:rsid w:val="00652B1E"/>
    <w:rsid w:val="00653DE3"/>
    <w:rsid w:val="0065474D"/>
    <w:rsid w:val="00654E89"/>
    <w:rsid w:val="006576B5"/>
    <w:rsid w:val="00657835"/>
    <w:rsid w:val="00657AD6"/>
    <w:rsid w:val="00660830"/>
    <w:rsid w:val="0066111A"/>
    <w:rsid w:val="00662DF0"/>
    <w:rsid w:val="0066372D"/>
    <w:rsid w:val="00664A18"/>
    <w:rsid w:val="00664A49"/>
    <w:rsid w:val="00666CEB"/>
    <w:rsid w:val="00667A7C"/>
    <w:rsid w:val="006749C9"/>
    <w:rsid w:val="00675E5A"/>
    <w:rsid w:val="006768C1"/>
    <w:rsid w:val="00676AA2"/>
    <w:rsid w:val="00676B1B"/>
    <w:rsid w:val="0068038C"/>
    <w:rsid w:val="006817F3"/>
    <w:rsid w:val="006847F2"/>
    <w:rsid w:val="006865E1"/>
    <w:rsid w:val="00695ED6"/>
    <w:rsid w:val="006A1EC2"/>
    <w:rsid w:val="006A2407"/>
    <w:rsid w:val="006A34AC"/>
    <w:rsid w:val="006A3CAF"/>
    <w:rsid w:val="006A580D"/>
    <w:rsid w:val="006A62CC"/>
    <w:rsid w:val="006A7A48"/>
    <w:rsid w:val="006A7C20"/>
    <w:rsid w:val="006B235D"/>
    <w:rsid w:val="006B4C30"/>
    <w:rsid w:val="006B4C74"/>
    <w:rsid w:val="006C101E"/>
    <w:rsid w:val="006C10B0"/>
    <w:rsid w:val="006C1DDB"/>
    <w:rsid w:val="006C1DFB"/>
    <w:rsid w:val="006C6446"/>
    <w:rsid w:val="006D0556"/>
    <w:rsid w:val="006D1573"/>
    <w:rsid w:val="006D2E15"/>
    <w:rsid w:val="006D3000"/>
    <w:rsid w:val="006D44AF"/>
    <w:rsid w:val="006D679A"/>
    <w:rsid w:val="006D7342"/>
    <w:rsid w:val="006E0EA0"/>
    <w:rsid w:val="006E1326"/>
    <w:rsid w:val="006E2B0C"/>
    <w:rsid w:val="006E4DA9"/>
    <w:rsid w:val="006E54DA"/>
    <w:rsid w:val="006E7F8A"/>
    <w:rsid w:val="006F051D"/>
    <w:rsid w:val="006F16A4"/>
    <w:rsid w:val="006F1F9A"/>
    <w:rsid w:val="006F2411"/>
    <w:rsid w:val="006F2B2F"/>
    <w:rsid w:val="006F602E"/>
    <w:rsid w:val="006F651A"/>
    <w:rsid w:val="006F7B5B"/>
    <w:rsid w:val="00700C47"/>
    <w:rsid w:val="00701813"/>
    <w:rsid w:val="00702A76"/>
    <w:rsid w:val="00703652"/>
    <w:rsid w:val="00705410"/>
    <w:rsid w:val="00705766"/>
    <w:rsid w:val="007069A6"/>
    <w:rsid w:val="00707689"/>
    <w:rsid w:val="007114EA"/>
    <w:rsid w:val="007119F7"/>
    <w:rsid w:val="00714A36"/>
    <w:rsid w:val="00714B4E"/>
    <w:rsid w:val="00716CF6"/>
    <w:rsid w:val="00720A37"/>
    <w:rsid w:val="00721A9F"/>
    <w:rsid w:val="00722AF6"/>
    <w:rsid w:val="00726C46"/>
    <w:rsid w:val="00727A95"/>
    <w:rsid w:val="007310D3"/>
    <w:rsid w:val="007331D8"/>
    <w:rsid w:val="00733A43"/>
    <w:rsid w:val="00734F8B"/>
    <w:rsid w:val="0073502B"/>
    <w:rsid w:val="00740631"/>
    <w:rsid w:val="0074152D"/>
    <w:rsid w:val="007419F5"/>
    <w:rsid w:val="007437FB"/>
    <w:rsid w:val="00745AF8"/>
    <w:rsid w:val="0074614A"/>
    <w:rsid w:val="00747531"/>
    <w:rsid w:val="007506D3"/>
    <w:rsid w:val="00750DC4"/>
    <w:rsid w:val="007528C0"/>
    <w:rsid w:val="00753C30"/>
    <w:rsid w:val="007602B9"/>
    <w:rsid w:val="0076111D"/>
    <w:rsid w:val="00762710"/>
    <w:rsid w:val="0076303B"/>
    <w:rsid w:val="007636A2"/>
    <w:rsid w:val="007654EC"/>
    <w:rsid w:val="00770386"/>
    <w:rsid w:val="00772EFB"/>
    <w:rsid w:val="0077382E"/>
    <w:rsid w:val="00775658"/>
    <w:rsid w:val="00776219"/>
    <w:rsid w:val="00777298"/>
    <w:rsid w:val="00785904"/>
    <w:rsid w:val="00785EA5"/>
    <w:rsid w:val="00786B60"/>
    <w:rsid w:val="00787177"/>
    <w:rsid w:val="0079321C"/>
    <w:rsid w:val="0079546F"/>
    <w:rsid w:val="007A0E4E"/>
    <w:rsid w:val="007A0F2F"/>
    <w:rsid w:val="007A21C2"/>
    <w:rsid w:val="007A2B21"/>
    <w:rsid w:val="007A3FCA"/>
    <w:rsid w:val="007A44EF"/>
    <w:rsid w:val="007B02BB"/>
    <w:rsid w:val="007B13E4"/>
    <w:rsid w:val="007B1811"/>
    <w:rsid w:val="007B3165"/>
    <w:rsid w:val="007B37E6"/>
    <w:rsid w:val="007B3CEF"/>
    <w:rsid w:val="007B3F3E"/>
    <w:rsid w:val="007B51A6"/>
    <w:rsid w:val="007C06DD"/>
    <w:rsid w:val="007C2264"/>
    <w:rsid w:val="007C3698"/>
    <w:rsid w:val="007C7385"/>
    <w:rsid w:val="007D0778"/>
    <w:rsid w:val="007D16E6"/>
    <w:rsid w:val="007D59C1"/>
    <w:rsid w:val="007E1B5F"/>
    <w:rsid w:val="007E5792"/>
    <w:rsid w:val="007F1922"/>
    <w:rsid w:val="007F279F"/>
    <w:rsid w:val="007F2E61"/>
    <w:rsid w:val="007F58F0"/>
    <w:rsid w:val="007F58FE"/>
    <w:rsid w:val="007F7181"/>
    <w:rsid w:val="007F7440"/>
    <w:rsid w:val="007F790B"/>
    <w:rsid w:val="00801483"/>
    <w:rsid w:val="00801DCD"/>
    <w:rsid w:val="00802DA2"/>
    <w:rsid w:val="00802FB3"/>
    <w:rsid w:val="0080370D"/>
    <w:rsid w:val="0080569A"/>
    <w:rsid w:val="008064FA"/>
    <w:rsid w:val="008130CE"/>
    <w:rsid w:val="0082013B"/>
    <w:rsid w:val="00820950"/>
    <w:rsid w:val="0082226F"/>
    <w:rsid w:val="00822368"/>
    <w:rsid w:val="00823C51"/>
    <w:rsid w:val="008243DE"/>
    <w:rsid w:val="00824692"/>
    <w:rsid w:val="008255EF"/>
    <w:rsid w:val="00840A81"/>
    <w:rsid w:val="00840E43"/>
    <w:rsid w:val="00842B0F"/>
    <w:rsid w:val="00843C1F"/>
    <w:rsid w:val="00845AC9"/>
    <w:rsid w:val="00847C9D"/>
    <w:rsid w:val="00855563"/>
    <w:rsid w:val="008557D4"/>
    <w:rsid w:val="0085639A"/>
    <w:rsid w:val="008567DC"/>
    <w:rsid w:val="00857317"/>
    <w:rsid w:val="008576AA"/>
    <w:rsid w:val="00862BB6"/>
    <w:rsid w:val="0086333A"/>
    <w:rsid w:val="00866478"/>
    <w:rsid w:val="00866613"/>
    <w:rsid w:val="00870D13"/>
    <w:rsid w:val="008749C5"/>
    <w:rsid w:val="00875810"/>
    <w:rsid w:val="00876F4A"/>
    <w:rsid w:val="008773A6"/>
    <w:rsid w:val="008779EB"/>
    <w:rsid w:val="0088006B"/>
    <w:rsid w:val="00883BCD"/>
    <w:rsid w:val="00884344"/>
    <w:rsid w:val="008854FF"/>
    <w:rsid w:val="00885F48"/>
    <w:rsid w:val="00886E5B"/>
    <w:rsid w:val="0089019F"/>
    <w:rsid w:val="00890723"/>
    <w:rsid w:val="00891C0B"/>
    <w:rsid w:val="0089398C"/>
    <w:rsid w:val="00893E98"/>
    <w:rsid w:val="00893F52"/>
    <w:rsid w:val="00897878"/>
    <w:rsid w:val="008A09B9"/>
    <w:rsid w:val="008A2916"/>
    <w:rsid w:val="008A4304"/>
    <w:rsid w:val="008A5CE1"/>
    <w:rsid w:val="008A6158"/>
    <w:rsid w:val="008B0238"/>
    <w:rsid w:val="008B0DE5"/>
    <w:rsid w:val="008B4F36"/>
    <w:rsid w:val="008B746E"/>
    <w:rsid w:val="008B765D"/>
    <w:rsid w:val="008C0CDF"/>
    <w:rsid w:val="008C13B0"/>
    <w:rsid w:val="008C2136"/>
    <w:rsid w:val="008C36EB"/>
    <w:rsid w:val="008C54F3"/>
    <w:rsid w:val="008C6CEA"/>
    <w:rsid w:val="008C78B3"/>
    <w:rsid w:val="008D03CA"/>
    <w:rsid w:val="008D058A"/>
    <w:rsid w:val="008E054A"/>
    <w:rsid w:val="008E209C"/>
    <w:rsid w:val="008E3600"/>
    <w:rsid w:val="008E6DCE"/>
    <w:rsid w:val="008F7C1D"/>
    <w:rsid w:val="00900E3F"/>
    <w:rsid w:val="009029C4"/>
    <w:rsid w:val="0090384F"/>
    <w:rsid w:val="00903885"/>
    <w:rsid w:val="009038DB"/>
    <w:rsid w:val="00903B56"/>
    <w:rsid w:val="00903E4E"/>
    <w:rsid w:val="00906721"/>
    <w:rsid w:val="00910355"/>
    <w:rsid w:val="009111BF"/>
    <w:rsid w:val="009140B4"/>
    <w:rsid w:val="0091464B"/>
    <w:rsid w:val="00915938"/>
    <w:rsid w:val="00917AD9"/>
    <w:rsid w:val="00922398"/>
    <w:rsid w:val="00925474"/>
    <w:rsid w:val="00925998"/>
    <w:rsid w:val="009270A1"/>
    <w:rsid w:val="00927767"/>
    <w:rsid w:val="00927B0F"/>
    <w:rsid w:val="00930FFA"/>
    <w:rsid w:val="00931391"/>
    <w:rsid w:val="00934C1E"/>
    <w:rsid w:val="0094019A"/>
    <w:rsid w:val="009407F4"/>
    <w:rsid w:val="00941748"/>
    <w:rsid w:val="009436D3"/>
    <w:rsid w:val="0094449E"/>
    <w:rsid w:val="00944E5F"/>
    <w:rsid w:val="00946741"/>
    <w:rsid w:val="00946A12"/>
    <w:rsid w:val="00946CAA"/>
    <w:rsid w:val="00947410"/>
    <w:rsid w:val="009542FD"/>
    <w:rsid w:val="00954435"/>
    <w:rsid w:val="0095515A"/>
    <w:rsid w:val="00957340"/>
    <w:rsid w:val="009574B7"/>
    <w:rsid w:val="00963146"/>
    <w:rsid w:val="0096425D"/>
    <w:rsid w:val="009668FE"/>
    <w:rsid w:val="0096706F"/>
    <w:rsid w:val="00971727"/>
    <w:rsid w:val="00972A20"/>
    <w:rsid w:val="009731B3"/>
    <w:rsid w:val="00973C42"/>
    <w:rsid w:val="0097449E"/>
    <w:rsid w:val="00974D4E"/>
    <w:rsid w:val="00975DC3"/>
    <w:rsid w:val="00980A3F"/>
    <w:rsid w:val="009832CC"/>
    <w:rsid w:val="00985CF2"/>
    <w:rsid w:val="00986C84"/>
    <w:rsid w:val="00987910"/>
    <w:rsid w:val="009900AB"/>
    <w:rsid w:val="00991E99"/>
    <w:rsid w:val="00992073"/>
    <w:rsid w:val="009920F0"/>
    <w:rsid w:val="0099485C"/>
    <w:rsid w:val="00995A6B"/>
    <w:rsid w:val="00995BB5"/>
    <w:rsid w:val="009A028F"/>
    <w:rsid w:val="009A230E"/>
    <w:rsid w:val="009A3AB8"/>
    <w:rsid w:val="009A55AC"/>
    <w:rsid w:val="009A5863"/>
    <w:rsid w:val="009A5F70"/>
    <w:rsid w:val="009A5F7A"/>
    <w:rsid w:val="009B0751"/>
    <w:rsid w:val="009B3B48"/>
    <w:rsid w:val="009B4B68"/>
    <w:rsid w:val="009B625F"/>
    <w:rsid w:val="009B7A8D"/>
    <w:rsid w:val="009C041A"/>
    <w:rsid w:val="009C1FE7"/>
    <w:rsid w:val="009C4CC6"/>
    <w:rsid w:val="009C51F5"/>
    <w:rsid w:val="009C5226"/>
    <w:rsid w:val="009C5A39"/>
    <w:rsid w:val="009C5B79"/>
    <w:rsid w:val="009C68B7"/>
    <w:rsid w:val="009C71B4"/>
    <w:rsid w:val="009D1485"/>
    <w:rsid w:val="009D3557"/>
    <w:rsid w:val="009D399E"/>
    <w:rsid w:val="009D49F3"/>
    <w:rsid w:val="009D5141"/>
    <w:rsid w:val="009D63C1"/>
    <w:rsid w:val="009D6F30"/>
    <w:rsid w:val="009D7472"/>
    <w:rsid w:val="009D7AAC"/>
    <w:rsid w:val="009D7D01"/>
    <w:rsid w:val="009E0903"/>
    <w:rsid w:val="009E1B9B"/>
    <w:rsid w:val="009E46E1"/>
    <w:rsid w:val="009E646F"/>
    <w:rsid w:val="009E6D4D"/>
    <w:rsid w:val="009E720F"/>
    <w:rsid w:val="009E7A66"/>
    <w:rsid w:val="009F0312"/>
    <w:rsid w:val="009F5957"/>
    <w:rsid w:val="00A018B6"/>
    <w:rsid w:val="00A05A8B"/>
    <w:rsid w:val="00A06633"/>
    <w:rsid w:val="00A07CDC"/>
    <w:rsid w:val="00A110FA"/>
    <w:rsid w:val="00A11422"/>
    <w:rsid w:val="00A12A5B"/>
    <w:rsid w:val="00A13BE2"/>
    <w:rsid w:val="00A13C5B"/>
    <w:rsid w:val="00A16A70"/>
    <w:rsid w:val="00A1769E"/>
    <w:rsid w:val="00A21EDB"/>
    <w:rsid w:val="00A26873"/>
    <w:rsid w:val="00A276F3"/>
    <w:rsid w:val="00A27703"/>
    <w:rsid w:val="00A309D4"/>
    <w:rsid w:val="00A32A37"/>
    <w:rsid w:val="00A35748"/>
    <w:rsid w:val="00A36D34"/>
    <w:rsid w:val="00A44DAC"/>
    <w:rsid w:val="00A45D44"/>
    <w:rsid w:val="00A4740A"/>
    <w:rsid w:val="00A50B78"/>
    <w:rsid w:val="00A52676"/>
    <w:rsid w:val="00A5483E"/>
    <w:rsid w:val="00A554B7"/>
    <w:rsid w:val="00A55EE4"/>
    <w:rsid w:val="00A57CE0"/>
    <w:rsid w:val="00A600AE"/>
    <w:rsid w:val="00A615F0"/>
    <w:rsid w:val="00A61C6F"/>
    <w:rsid w:val="00A626E9"/>
    <w:rsid w:val="00A62BEA"/>
    <w:rsid w:val="00A65DBE"/>
    <w:rsid w:val="00A67D34"/>
    <w:rsid w:val="00A72DEA"/>
    <w:rsid w:val="00A74343"/>
    <w:rsid w:val="00A74B7E"/>
    <w:rsid w:val="00A75EA6"/>
    <w:rsid w:val="00A76475"/>
    <w:rsid w:val="00A77E4C"/>
    <w:rsid w:val="00A810E6"/>
    <w:rsid w:val="00A82C6C"/>
    <w:rsid w:val="00A841BB"/>
    <w:rsid w:val="00A87789"/>
    <w:rsid w:val="00A87C8D"/>
    <w:rsid w:val="00A919DA"/>
    <w:rsid w:val="00A91C8A"/>
    <w:rsid w:val="00A941DF"/>
    <w:rsid w:val="00A95F11"/>
    <w:rsid w:val="00A96354"/>
    <w:rsid w:val="00A96863"/>
    <w:rsid w:val="00AA018B"/>
    <w:rsid w:val="00AA0A00"/>
    <w:rsid w:val="00AA4D78"/>
    <w:rsid w:val="00AA515E"/>
    <w:rsid w:val="00AA52FB"/>
    <w:rsid w:val="00AA684C"/>
    <w:rsid w:val="00AA7FE8"/>
    <w:rsid w:val="00AB56B4"/>
    <w:rsid w:val="00AB5E0C"/>
    <w:rsid w:val="00AB6A83"/>
    <w:rsid w:val="00AB7637"/>
    <w:rsid w:val="00AC00A3"/>
    <w:rsid w:val="00AC16DD"/>
    <w:rsid w:val="00AC2C43"/>
    <w:rsid w:val="00AC35AF"/>
    <w:rsid w:val="00AC4456"/>
    <w:rsid w:val="00AC47E4"/>
    <w:rsid w:val="00AC6D20"/>
    <w:rsid w:val="00AC70EC"/>
    <w:rsid w:val="00AD0096"/>
    <w:rsid w:val="00AD64DF"/>
    <w:rsid w:val="00AD6797"/>
    <w:rsid w:val="00AE7199"/>
    <w:rsid w:val="00AF3487"/>
    <w:rsid w:val="00AF3FC5"/>
    <w:rsid w:val="00AF4C09"/>
    <w:rsid w:val="00AF5E2B"/>
    <w:rsid w:val="00AF642D"/>
    <w:rsid w:val="00AF6D5E"/>
    <w:rsid w:val="00AF7A1A"/>
    <w:rsid w:val="00B02936"/>
    <w:rsid w:val="00B029C6"/>
    <w:rsid w:val="00B06128"/>
    <w:rsid w:val="00B06CCA"/>
    <w:rsid w:val="00B15BDD"/>
    <w:rsid w:val="00B16FB4"/>
    <w:rsid w:val="00B178BC"/>
    <w:rsid w:val="00B220FD"/>
    <w:rsid w:val="00B22C2B"/>
    <w:rsid w:val="00B243B0"/>
    <w:rsid w:val="00B265D7"/>
    <w:rsid w:val="00B26CDB"/>
    <w:rsid w:val="00B2746C"/>
    <w:rsid w:val="00B304EC"/>
    <w:rsid w:val="00B3185E"/>
    <w:rsid w:val="00B31E3D"/>
    <w:rsid w:val="00B32B1A"/>
    <w:rsid w:val="00B35D86"/>
    <w:rsid w:val="00B3640D"/>
    <w:rsid w:val="00B3679C"/>
    <w:rsid w:val="00B36872"/>
    <w:rsid w:val="00B37614"/>
    <w:rsid w:val="00B40D1B"/>
    <w:rsid w:val="00B41BE2"/>
    <w:rsid w:val="00B43F89"/>
    <w:rsid w:val="00B44C97"/>
    <w:rsid w:val="00B4799E"/>
    <w:rsid w:val="00B47C07"/>
    <w:rsid w:val="00B5344C"/>
    <w:rsid w:val="00B5345D"/>
    <w:rsid w:val="00B556A8"/>
    <w:rsid w:val="00B57559"/>
    <w:rsid w:val="00B6048D"/>
    <w:rsid w:val="00B625D3"/>
    <w:rsid w:val="00B6399F"/>
    <w:rsid w:val="00B63F7E"/>
    <w:rsid w:val="00B63F81"/>
    <w:rsid w:val="00B648AB"/>
    <w:rsid w:val="00B657A7"/>
    <w:rsid w:val="00B65F68"/>
    <w:rsid w:val="00B70110"/>
    <w:rsid w:val="00B7024A"/>
    <w:rsid w:val="00B71316"/>
    <w:rsid w:val="00B72ADE"/>
    <w:rsid w:val="00B762AF"/>
    <w:rsid w:val="00B800E8"/>
    <w:rsid w:val="00B82512"/>
    <w:rsid w:val="00B82B3D"/>
    <w:rsid w:val="00B83298"/>
    <w:rsid w:val="00B83D52"/>
    <w:rsid w:val="00B8432C"/>
    <w:rsid w:val="00B843E5"/>
    <w:rsid w:val="00B84CE4"/>
    <w:rsid w:val="00B84F54"/>
    <w:rsid w:val="00B852AC"/>
    <w:rsid w:val="00B87F7F"/>
    <w:rsid w:val="00B9021B"/>
    <w:rsid w:val="00B91FE2"/>
    <w:rsid w:val="00B922BC"/>
    <w:rsid w:val="00B9354E"/>
    <w:rsid w:val="00B9425E"/>
    <w:rsid w:val="00B9444A"/>
    <w:rsid w:val="00B97ED7"/>
    <w:rsid w:val="00BA0262"/>
    <w:rsid w:val="00BA4749"/>
    <w:rsid w:val="00BA50D2"/>
    <w:rsid w:val="00BA52F5"/>
    <w:rsid w:val="00BA592E"/>
    <w:rsid w:val="00BA6228"/>
    <w:rsid w:val="00BB1101"/>
    <w:rsid w:val="00BB19A6"/>
    <w:rsid w:val="00BB19C3"/>
    <w:rsid w:val="00BB347D"/>
    <w:rsid w:val="00BB349E"/>
    <w:rsid w:val="00BB3D0D"/>
    <w:rsid w:val="00BB4A12"/>
    <w:rsid w:val="00BB6CEB"/>
    <w:rsid w:val="00BC206B"/>
    <w:rsid w:val="00BC577A"/>
    <w:rsid w:val="00BC5FD3"/>
    <w:rsid w:val="00BC7575"/>
    <w:rsid w:val="00BC7A54"/>
    <w:rsid w:val="00BC7D03"/>
    <w:rsid w:val="00BC7E05"/>
    <w:rsid w:val="00BD0820"/>
    <w:rsid w:val="00BD259C"/>
    <w:rsid w:val="00BD25B6"/>
    <w:rsid w:val="00BD5FE0"/>
    <w:rsid w:val="00BD623E"/>
    <w:rsid w:val="00BD75E9"/>
    <w:rsid w:val="00BD7D11"/>
    <w:rsid w:val="00BE0761"/>
    <w:rsid w:val="00BE1924"/>
    <w:rsid w:val="00BE542F"/>
    <w:rsid w:val="00BE638C"/>
    <w:rsid w:val="00BE6DBD"/>
    <w:rsid w:val="00BF054C"/>
    <w:rsid w:val="00BF0808"/>
    <w:rsid w:val="00BF1765"/>
    <w:rsid w:val="00BF32E7"/>
    <w:rsid w:val="00BF346F"/>
    <w:rsid w:val="00BF4156"/>
    <w:rsid w:val="00BF5913"/>
    <w:rsid w:val="00BF729F"/>
    <w:rsid w:val="00BF7C77"/>
    <w:rsid w:val="00C01414"/>
    <w:rsid w:val="00C03065"/>
    <w:rsid w:val="00C031AC"/>
    <w:rsid w:val="00C10484"/>
    <w:rsid w:val="00C10F1D"/>
    <w:rsid w:val="00C12415"/>
    <w:rsid w:val="00C1275B"/>
    <w:rsid w:val="00C12A65"/>
    <w:rsid w:val="00C13540"/>
    <w:rsid w:val="00C1386D"/>
    <w:rsid w:val="00C13C2D"/>
    <w:rsid w:val="00C156A0"/>
    <w:rsid w:val="00C16F54"/>
    <w:rsid w:val="00C21011"/>
    <w:rsid w:val="00C21549"/>
    <w:rsid w:val="00C2239A"/>
    <w:rsid w:val="00C2387C"/>
    <w:rsid w:val="00C24234"/>
    <w:rsid w:val="00C243F7"/>
    <w:rsid w:val="00C24924"/>
    <w:rsid w:val="00C25CC6"/>
    <w:rsid w:val="00C26D29"/>
    <w:rsid w:val="00C26D9B"/>
    <w:rsid w:val="00C301A2"/>
    <w:rsid w:val="00C329E4"/>
    <w:rsid w:val="00C32CE4"/>
    <w:rsid w:val="00C3326B"/>
    <w:rsid w:val="00C340A5"/>
    <w:rsid w:val="00C3422D"/>
    <w:rsid w:val="00C3446D"/>
    <w:rsid w:val="00C34477"/>
    <w:rsid w:val="00C37242"/>
    <w:rsid w:val="00C372A3"/>
    <w:rsid w:val="00C37DCB"/>
    <w:rsid w:val="00C41A01"/>
    <w:rsid w:val="00C41AFE"/>
    <w:rsid w:val="00C41B93"/>
    <w:rsid w:val="00C510CF"/>
    <w:rsid w:val="00C51D58"/>
    <w:rsid w:val="00C51F12"/>
    <w:rsid w:val="00C5330A"/>
    <w:rsid w:val="00C559E1"/>
    <w:rsid w:val="00C565BE"/>
    <w:rsid w:val="00C56F7E"/>
    <w:rsid w:val="00C57C04"/>
    <w:rsid w:val="00C60BED"/>
    <w:rsid w:val="00C61125"/>
    <w:rsid w:val="00C64EA2"/>
    <w:rsid w:val="00C70B58"/>
    <w:rsid w:val="00C729D3"/>
    <w:rsid w:val="00C73637"/>
    <w:rsid w:val="00C74DCC"/>
    <w:rsid w:val="00C76E56"/>
    <w:rsid w:val="00C77001"/>
    <w:rsid w:val="00C80F32"/>
    <w:rsid w:val="00C815D1"/>
    <w:rsid w:val="00C83C0E"/>
    <w:rsid w:val="00C8787E"/>
    <w:rsid w:val="00C903A9"/>
    <w:rsid w:val="00C91F85"/>
    <w:rsid w:val="00C92C85"/>
    <w:rsid w:val="00CA029A"/>
    <w:rsid w:val="00CA19A9"/>
    <w:rsid w:val="00CA2925"/>
    <w:rsid w:val="00CA484D"/>
    <w:rsid w:val="00CA60AD"/>
    <w:rsid w:val="00CA7DA8"/>
    <w:rsid w:val="00CB28A8"/>
    <w:rsid w:val="00CB3A35"/>
    <w:rsid w:val="00CB6626"/>
    <w:rsid w:val="00CB724D"/>
    <w:rsid w:val="00CB7592"/>
    <w:rsid w:val="00CC2F52"/>
    <w:rsid w:val="00CC39C5"/>
    <w:rsid w:val="00CC4397"/>
    <w:rsid w:val="00CC7457"/>
    <w:rsid w:val="00CD2053"/>
    <w:rsid w:val="00CD367D"/>
    <w:rsid w:val="00CD56C8"/>
    <w:rsid w:val="00CD7FF7"/>
    <w:rsid w:val="00CE0868"/>
    <w:rsid w:val="00CE143E"/>
    <w:rsid w:val="00CE14D0"/>
    <w:rsid w:val="00CE3A8A"/>
    <w:rsid w:val="00CE4A7F"/>
    <w:rsid w:val="00CE5CF2"/>
    <w:rsid w:val="00CF1BDE"/>
    <w:rsid w:val="00CF2183"/>
    <w:rsid w:val="00CF3907"/>
    <w:rsid w:val="00CF3FA1"/>
    <w:rsid w:val="00CF581F"/>
    <w:rsid w:val="00CF7F63"/>
    <w:rsid w:val="00D005A6"/>
    <w:rsid w:val="00D0062B"/>
    <w:rsid w:val="00D01D31"/>
    <w:rsid w:val="00D065AB"/>
    <w:rsid w:val="00D11E5A"/>
    <w:rsid w:val="00D120EA"/>
    <w:rsid w:val="00D147B3"/>
    <w:rsid w:val="00D16A83"/>
    <w:rsid w:val="00D16C17"/>
    <w:rsid w:val="00D2113C"/>
    <w:rsid w:val="00D23E74"/>
    <w:rsid w:val="00D31C15"/>
    <w:rsid w:val="00D45074"/>
    <w:rsid w:val="00D45399"/>
    <w:rsid w:val="00D45454"/>
    <w:rsid w:val="00D54F84"/>
    <w:rsid w:val="00D552B8"/>
    <w:rsid w:val="00D5682A"/>
    <w:rsid w:val="00D575D6"/>
    <w:rsid w:val="00D62DC7"/>
    <w:rsid w:val="00D64217"/>
    <w:rsid w:val="00D65B85"/>
    <w:rsid w:val="00D71A8E"/>
    <w:rsid w:val="00D751A3"/>
    <w:rsid w:val="00D7760B"/>
    <w:rsid w:val="00D82FCC"/>
    <w:rsid w:val="00D83935"/>
    <w:rsid w:val="00D841E0"/>
    <w:rsid w:val="00D870B2"/>
    <w:rsid w:val="00D9119D"/>
    <w:rsid w:val="00D94E51"/>
    <w:rsid w:val="00DA17C2"/>
    <w:rsid w:val="00DA4013"/>
    <w:rsid w:val="00DA49A3"/>
    <w:rsid w:val="00DA4C57"/>
    <w:rsid w:val="00DA5891"/>
    <w:rsid w:val="00DA6084"/>
    <w:rsid w:val="00DA7202"/>
    <w:rsid w:val="00DB1012"/>
    <w:rsid w:val="00DB1B40"/>
    <w:rsid w:val="00DB3FBB"/>
    <w:rsid w:val="00DB45BA"/>
    <w:rsid w:val="00DB47DD"/>
    <w:rsid w:val="00DB5121"/>
    <w:rsid w:val="00DB55E8"/>
    <w:rsid w:val="00DB5E90"/>
    <w:rsid w:val="00DB63A2"/>
    <w:rsid w:val="00DB79F7"/>
    <w:rsid w:val="00DC27B9"/>
    <w:rsid w:val="00DC315F"/>
    <w:rsid w:val="00DC39A5"/>
    <w:rsid w:val="00DC3EBD"/>
    <w:rsid w:val="00DC4406"/>
    <w:rsid w:val="00DC6169"/>
    <w:rsid w:val="00DC745D"/>
    <w:rsid w:val="00DC77EB"/>
    <w:rsid w:val="00DD0586"/>
    <w:rsid w:val="00DD3E32"/>
    <w:rsid w:val="00DD4E98"/>
    <w:rsid w:val="00DE1989"/>
    <w:rsid w:val="00DE19A8"/>
    <w:rsid w:val="00DE1B27"/>
    <w:rsid w:val="00DE4A18"/>
    <w:rsid w:val="00DE4F05"/>
    <w:rsid w:val="00DE6A8F"/>
    <w:rsid w:val="00DF3A3D"/>
    <w:rsid w:val="00DF608C"/>
    <w:rsid w:val="00DF6754"/>
    <w:rsid w:val="00E00C05"/>
    <w:rsid w:val="00E013F3"/>
    <w:rsid w:val="00E02818"/>
    <w:rsid w:val="00E02DD1"/>
    <w:rsid w:val="00E05412"/>
    <w:rsid w:val="00E06B26"/>
    <w:rsid w:val="00E07BF3"/>
    <w:rsid w:val="00E120F8"/>
    <w:rsid w:val="00E12345"/>
    <w:rsid w:val="00E15DCF"/>
    <w:rsid w:val="00E16AB8"/>
    <w:rsid w:val="00E2013D"/>
    <w:rsid w:val="00E2070B"/>
    <w:rsid w:val="00E222BD"/>
    <w:rsid w:val="00E22D17"/>
    <w:rsid w:val="00E261EB"/>
    <w:rsid w:val="00E26A9E"/>
    <w:rsid w:val="00E30173"/>
    <w:rsid w:val="00E30C98"/>
    <w:rsid w:val="00E31871"/>
    <w:rsid w:val="00E3350B"/>
    <w:rsid w:val="00E3389D"/>
    <w:rsid w:val="00E3391B"/>
    <w:rsid w:val="00E45114"/>
    <w:rsid w:val="00E46037"/>
    <w:rsid w:val="00E46A98"/>
    <w:rsid w:val="00E47D48"/>
    <w:rsid w:val="00E5029C"/>
    <w:rsid w:val="00E50965"/>
    <w:rsid w:val="00E51127"/>
    <w:rsid w:val="00E51DD3"/>
    <w:rsid w:val="00E5238B"/>
    <w:rsid w:val="00E54C40"/>
    <w:rsid w:val="00E5562A"/>
    <w:rsid w:val="00E55E65"/>
    <w:rsid w:val="00E62D28"/>
    <w:rsid w:val="00E632F4"/>
    <w:rsid w:val="00E63A00"/>
    <w:rsid w:val="00E6414C"/>
    <w:rsid w:val="00E650CC"/>
    <w:rsid w:val="00E65670"/>
    <w:rsid w:val="00E66545"/>
    <w:rsid w:val="00E67164"/>
    <w:rsid w:val="00E728F8"/>
    <w:rsid w:val="00E72E1D"/>
    <w:rsid w:val="00E73810"/>
    <w:rsid w:val="00E73BBE"/>
    <w:rsid w:val="00E766D6"/>
    <w:rsid w:val="00E76FCD"/>
    <w:rsid w:val="00E775E9"/>
    <w:rsid w:val="00E7771B"/>
    <w:rsid w:val="00E80208"/>
    <w:rsid w:val="00E805C8"/>
    <w:rsid w:val="00E8157D"/>
    <w:rsid w:val="00E81D33"/>
    <w:rsid w:val="00E8232C"/>
    <w:rsid w:val="00E84219"/>
    <w:rsid w:val="00E85637"/>
    <w:rsid w:val="00E869A3"/>
    <w:rsid w:val="00E86F2F"/>
    <w:rsid w:val="00E908E3"/>
    <w:rsid w:val="00E92672"/>
    <w:rsid w:val="00EA0D02"/>
    <w:rsid w:val="00EA30ED"/>
    <w:rsid w:val="00EA45E4"/>
    <w:rsid w:val="00EA55BB"/>
    <w:rsid w:val="00EA56B4"/>
    <w:rsid w:val="00EB1361"/>
    <w:rsid w:val="00EB355B"/>
    <w:rsid w:val="00EB43BA"/>
    <w:rsid w:val="00EB4E71"/>
    <w:rsid w:val="00EB7442"/>
    <w:rsid w:val="00EB76B4"/>
    <w:rsid w:val="00EC04F4"/>
    <w:rsid w:val="00EC05A2"/>
    <w:rsid w:val="00EC1CE3"/>
    <w:rsid w:val="00EC1F4F"/>
    <w:rsid w:val="00EC2155"/>
    <w:rsid w:val="00EC222A"/>
    <w:rsid w:val="00EC4147"/>
    <w:rsid w:val="00EC4920"/>
    <w:rsid w:val="00EC6DAF"/>
    <w:rsid w:val="00EC7F7A"/>
    <w:rsid w:val="00ED1BA0"/>
    <w:rsid w:val="00ED28DE"/>
    <w:rsid w:val="00ED2AD3"/>
    <w:rsid w:val="00ED3738"/>
    <w:rsid w:val="00ED547A"/>
    <w:rsid w:val="00EE02BD"/>
    <w:rsid w:val="00EE109F"/>
    <w:rsid w:val="00EE1691"/>
    <w:rsid w:val="00EE1B56"/>
    <w:rsid w:val="00EE2143"/>
    <w:rsid w:val="00EE4783"/>
    <w:rsid w:val="00EE4966"/>
    <w:rsid w:val="00EE4C86"/>
    <w:rsid w:val="00EE4D2E"/>
    <w:rsid w:val="00EE62E8"/>
    <w:rsid w:val="00EF1F71"/>
    <w:rsid w:val="00EF2CE2"/>
    <w:rsid w:val="00EF68DB"/>
    <w:rsid w:val="00EF72EE"/>
    <w:rsid w:val="00F003CC"/>
    <w:rsid w:val="00F024B3"/>
    <w:rsid w:val="00F048C6"/>
    <w:rsid w:val="00F04FDF"/>
    <w:rsid w:val="00F06604"/>
    <w:rsid w:val="00F1155A"/>
    <w:rsid w:val="00F119A7"/>
    <w:rsid w:val="00F11E7B"/>
    <w:rsid w:val="00F15449"/>
    <w:rsid w:val="00F2514C"/>
    <w:rsid w:val="00F2560A"/>
    <w:rsid w:val="00F27618"/>
    <w:rsid w:val="00F31358"/>
    <w:rsid w:val="00F338E9"/>
    <w:rsid w:val="00F378DD"/>
    <w:rsid w:val="00F42304"/>
    <w:rsid w:val="00F4230B"/>
    <w:rsid w:val="00F424C8"/>
    <w:rsid w:val="00F43883"/>
    <w:rsid w:val="00F46853"/>
    <w:rsid w:val="00F47D3A"/>
    <w:rsid w:val="00F51FFE"/>
    <w:rsid w:val="00F52D39"/>
    <w:rsid w:val="00F53B0A"/>
    <w:rsid w:val="00F600EB"/>
    <w:rsid w:val="00F64D69"/>
    <w:rsid w:val="00F6795F"/>
    <w:rsid w:val="00F713F7"/>
    <w:rsid w:val="00F72439"/>
    <w:rsid w:val="00F72788"/>
    <w:rsid w:val="00F727C1"/>
    <w:rsid w:val="00F73C31"/>
    <w:rsid w:val="00F75040"/>
    <w:rsid w:val="00F769A6"/>
    <w:rsid w:val="00F778D8"/>
    <w:rsid w:val="00F81B13"/>
    <w:rsid w:val="00F86324"/>
    <w:rsid w:val="00F86898"/>
    <w:rsid w:val="00F91AB6"/>
    <w:rsid w:val="00F91FE4"/>
    <w:rsid w:val="00F93022"/>
    <w:rsid w:val="00F97E26"/>
    <w:rsid w:val="00FA12E7"/>
    <w:rsid w:val="00FA1324"/>
    <w:rsid w:val="00FA293D"/>
    <w:rsid w:val="00FA29F7"/>
    <w:rsid w:val="00FA30DE"/>
    <w:rsid w:val="00FA3462"/>
    <w:rsid w:val="00FA6F55"/>
    <w:rsid w:val="00FB1178"/>
    <w:rsid w:val="00FB1553"/>
    <w:rsid w:val="00FB18EF"/>
    <w:rsid w:val="00FB1EEF"/>
    <w:rsid w:val="00FB1F2D"/>
    <w:rsid w:val="00FB2430"/>
    <w:rsid w:val="00FB3ABD"/>
    <w:rsid w:val="00FB3C56"/>
    <w:rsid w:val="00FB3EC4"/>
    <w:rsid w:val="00FB7FCC"/>
    <w:rsid w:val="00FC2391"/>
    <w:rsid w:val="00FC3C6D"/>
    <w:rsid w:val="00FC4EF0"/>
    <w:rsid w:val="00FC56A3"/>
    <w:rsid w:val="00FC704E"/>
    <w:rsid w:val="00FC71FD"/>
    <w:rsid w:val="00FD3634"/>
    <w:rsid w:val="00FD52AE"/>
    <w:rsid w:val="00FD5AAD"/>
    <w:rsid w:val="00FD78B3"/>
    <w:rsid w:val="00FE4108"/>
    <w:rsid w:val="00FE4665"/>
    <w:rsid w:val="00FE5838"/>
    <w:rsid w:val="00FE6B47"/>
    <w:rsid w:val="00FE7F7B"/>
    <w:rsid w:val="00FF0837"/>
    <w:rsid w:val="00FF2758"/>
    <w:rsid w:val="00FF34A8"/>
    <w:rsid w:val="00FF44BD"/>
    <w:rsid w:val="00FF4DB2"/>
    <w:rsid w:val="00FF5524"/>
    <w:rsid w:val="283A9674"/>
    <w:rsid w:val="522C7F58"/>
    <w:rsid w:val="73426576"/>
    <w:rsid w:val="7A8EF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83A9674"/>
  <w15:chartTrackingRefBased/>
  <w15:docId w15:val="{F1E2599F-2395-4F6F-95C1-C56EF5A9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
    <w:basedOn w:val="Normal"/>
    <w:next w:val="Normal"/>
    <w:link w:val="Heading1Char"/>
    <w:uiPriority w:val="1"/>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NPB"/>
    <w:basedOn w:val="Normal"/>
    <w:next w:val="Normal"/>
    <w:link w:val="Heading2Char"/>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aliases w:val="h5"/>
    <w:basedOn w:val="Normal"/>
    <w:next w:val="Normal"/>
    <w:link w:val="Heading5Char"/>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1"/>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2 Char,H2 Char,NPB Char"/>
    <w:basedOn w:val="DefaultParagraphFont"/>
    <w:link w:val="Heading2"/>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h3 Char,H3 Char"/>
    <w:basedOn w:val="DefaultParagraphFont"/>
    <w:link w:val="Heading3"/>
    <w:rPr>
      <w:rFonts w:eastAsiaTheme="majorEastAsia" w:cstheme="majorBidi"/>
      <w:color w:val="0F4761" w:themeColor="accent1" w:themeShade="BF"/>
      <w:sz w:val="28"/>
      <w:szCs w:val="28"/>
    </w:rPr>
  </w:style>
  <w:style w:type="character" w:customStyle="1" w:styleId="Heading4Char">
    <w:name w:val="Heading 4 Char"/>
    <w:aliases w:val="h4 Char,H4 Char"/>
    <w:basedOn w:val="DefaultParagraphFont"/>
    <w:link w:val="Heading4"/>
    <w:rPr>
      <w:rFonts w:eastAsiaTheme="majorEastAsia" w:cstheme="majorBidi"/>
      <w:i/>
      <w:iCs/>
      <w:color w:val="0F4761" w:themeColor="accent1" w:themeShade="BF"/>
    </w:rPr>
  </w:style>
  <w:style w:type="character" w:customStyle="1" w:styleId="Heading5Char">
    <w:name w:val="Heading 5 Char"/>
    <w:aliases w:val="h5 Char"/>
    <w:basedOn w:val="DefaultParagraphFont"/>
    <w:link w:val="Heading5"/>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CB7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592"/>
  </w:style>
  <w:style w:type="paragraph" w:styleId="Footer">
    <w:name w:val="footer"/>
    <w:basedOn w:val="Normal"/>
    <w:link w:val="FooterChar"/>
    <w:uiPriority w:val="99"/>
    <w:unhideWhenUsed/>
    <w:rsid w:val="00CB7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592"/>
  </w:style>
  <w:style w:type="paragraph" w:styleId="TOC1">
    <w:name w:val="toc 1"/>
    <w:basedOn w:val="Normal"/>
    <w:next w:val="Normal"/>
    <w:autoRedefine/>
    <w:uiPriority w:val="39"/>
    <w:unhideWhenUsed/>
    <w:rsid w:val="00883BCD"/>
    <w:pPr>
      <w:tabs>
        <w:tab w:val="left" w:pos="480"/>
        <w:tab w:val="right" w:leader="dot" w:pos="9350"/>
      </w:tabs>
      <w:spacing w:after="100"/>
    </w:pPr>
    <w:rPr>
      <w:noProof/>
    </w:rPr>
  </w:style>
  <w:style w:type="character" w:styleId="Hyperlink">
    <w:name w:val="Hyperlink"/>
    <w:basedOn w:val="DefaultParagraphFont"/>
    <w:uiPriority w:val="99"/>
    <w:unhideWhenUsed/>
    <w:rsid w:val="00EE1691"/>
    <w:rPr>
      <w:color w:val="467886" w:themeColor="hyperlink"/>
      <w:u w:val="single"/>
    </w:rPr>
  </w:style>
  <w:style w:type="table" w:styleId="TableGrid">
    <w:name w:val="Table Grid"/>
    <w:basedOn w:val="TableNormal"/>
    <w:uiPriority w:val="39"/>
    <w:rsid w:val="00C7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Text">
    <w:name w:val="ParaText"/>
    <w:basedOn w:val="Normal"/>
    <w:link w:val="ParaTextChar"/>
    <w:uiPriority w:val="99"/>
    <w:rsid w:val="00F91AB6"/>
    <w:pPr>
      <w:spacing w:after="120" w:line="300" w:lineRule="auto"/>
      <w:jc w:val="both"/>
    </w:pPr>
    <w:rPr>
      <w:rFonts w:ascii="Times New Roman" w:eastAsia="Times New Roman" w:hAnsi="Times New Roman" w:cs="Times New Roman"/>
      <w:szCs w:val="20"/>
      <w:lang w:eastAsia="en-US"/>
      <w14:ligatures w14:val="standardContextual"/>
    </w:rPr>
  </w:style>
  <w:style w:type="character" w:customStyle="1" w:styleId="ParaTextChar">
    <w:name w:val="ParaText Char"/>
    <w:basedOn w:val="DefaultParagraphFont"/>
    <w:link w:val="ParaText"/>
    <w:uiPriority w:val="99"/>
    <w:rsid w:val="00F91AB6"/>
    <w:rPr>
      <w:rFonts w:ascii="Times New Roman" w:eastAsia="Times New Roman" w:hAnsi="Times New Roman" w:cs="Times New Roman"/>
      <w:szCs w:val="20"/>
      <w:lang w:eastAsia="en-US"/>
      <w14:ligatures w14:val="standardContextual"/>
    </w:rPr>
  </w:style>
  <w:style w:type="paragraph" w:styleId="ListParagraph">
    <w:name w:val="List Paragraph"/>
    <w:basedOn w:val="Normal"/>
    <w:uiPriority w:val="34"/>
    <w:qFormat/>
    <w:rsid w:val="00456F67"/>
    <w:pPr>
      <w:spacing w:after="120" w:line="240" w:lineRule="auto"/>
      <w:ind w:left="720"/>
      <w:contextualSpacing/>
      <w:jc w:val="both"/>
    </w:pPr>
    <w:rPr>
      <w:rFonts w:eastAsia="Times New Roman" w:cs="Times New Roman"/>
      <w:szCs w:val="20"/>
      <w:lang w:eastAsia="en-US"/>
      <w14:ligatures w14:val="standardContextual"/>
    </w:rPr>
  </w:style>
  <w:style w:type="paragraph" w:customStyle="1" w:styleId="Normal120">
    <w:name w:val="Normal_120"/>
    <w:qFormat/>
    <w:rsid w:val="00F91AB6"/>
    <w:pPr>
      <w:spacing w:before="120" w:after="120" w:line="300" w:lineRule="auto"/>
    </w:pPr>
    <w:rPr>
      <w:rFonts w:ascii="Times New Roman" w:eastAsia="Times New Roman" w:hAnsi="Times New Roman" w:cs="Times New Roman"/>
      <w:szCs w:val="20"/>
      <w:lang w:eastAsia="en-US"/>
      <w14:ligatures w14:val="standardContextual"/>
    </w:rPr>
  </w:style>
  <w:style w:type="paragraph" w:styleId="Revision">
    <w:name w:val="Revision"/>
    <w:hidden/>
    <w:uiPriority w:val="99"/>
    <w:semiHidden/>
    <w:rsid w:val="00F91AB6"/>
    <w:pPr>
      <w:spacing w:after="0" w:line="240" w:lineRule="auto"/>
    </w:pPr>
    <w:rPr>
      <w:rFonts w:ascii="Times New Roman" w:eastAsia="Times New Roman" w:hAnsi="Times New Roman" w:cs="Times New Roman"/>
      <w:szCs w:val="20"/>
      <w:lang w:eastAsia="en-US"/>
      <w14:ligatures w14:val="standardContextual"/>
    </w:rPr>
  </w:style>
  <w:style w:type="character" w:styleId="CommentReference">
    <w:name w:val="annotation reference"/>
    <w:basedOn w:val="DefaultParagraphFont"/>
    <w:uiPriority w:val="99"/>
    <w:semiHidden/>
    <w:unhideWhenUsed/>
    <w:rsid w:val="00F91AB6"/>
    <w:rPr>
      <w:sz w:val="16"/>
      <w:szCs w:val="16"/>
    </w:rPr>
  </w:style>
  <w:style w:type="paragraph" w:styleId="CommentText">
    <w:name w:val="annotation text"/>
    <w:basedOn w:val="Normal"/>
    <w:link w:val="CommentTextChar"/>
    <w:uiPriority w:val="99"/>
    <w:unhideWhenUsed/>
    <w:rsid w:val="00F91AB6"/>
    <w:pPr>
      <w:spacing w:after="120" w:line="240" w:lineRule="auto"/>
      <w:jc w:val="both"/>
    </w:pPr>
    <w:rPr>
      <w:rFonts w:ascii="Times New Roman" w:eastAsia="Times New Roman" w:hAnsi="Times New Roman" w:cs="Times New Roman"/>
      <w:sz w:val="20"/>
      <w:szCs w:val="20"/>
      <w:lang w:eastAsia="en-US"/>
      <w14:ligatures w14:val="standardContextual"/>
    </w:rPr>
  </w:style>
  <w:style w:type="character" w:customStyle="1" w:styleId="CommentTextChar">
    <w:name w:val="Comment Text Char"/>
    <w:basedOn w:val="DefaultParagraphFont"/>
    <w:link w:val="CommentText"/>
    <w:uiPriority w:val="99"/>
    <w:rsid w:val="00F91AB6"/>
    <w:rPr>
      <w:rFonts w:ascii="Times New Roman" w:eastAsia="Times New Roman" w:hAnsi="Times New Roman" w:cs="Times New Roman"/>
      <w:sz w:val="20"/>
      <w:szCs w:val="20"/>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F91AB6"/>
    <w:rPr>
      <w:b/>
      <w:bCs/>
    </w:rPr>
  </w:style>
  <w:style w:type="character" w:customStyle="1" w:styleId="CommentSubjectChar">
    <w:name w:val="Comment Subject Char"/>
    <w:basedOn w:val="CommentTextChar"/>
    <w:link w:val="CommentSubject"/>
    <w:uiPriority w:val="99"/>
    <w:semiHidden/>
    <w:rsid w:val="00F91AB6"/>
    <w:rPr>
      <w:rFonts w:ascii="Times New Roman" w:eastAsia="Times New Roman" w:hAnsi="Times New Roman" w:cs="Times New Roman"/>
      <w:b/>
      <w:bCs/>
      <w:sz w:val="20"/>
      <w:szCs w:val="20"/>
      <w:lang w:eastAsia="en-US"/>
      <w14:ligatures w14:val="standardContextual"/>
    </w:rPr>
  </w:style>
  <w:style w:type="character" w:styleId="Mention">
    <w:name w:val="Mention"/>
    <w:basedOn w:val="DefaultParagraphFont"/>
    <w:uiPriority w:val="99"/>
    <w:unhideWhenUsed/>
    <w:rsid w:val="00F91AB6"/>
    <w:rPr>
      <w:color w:val="2B579A"/>
      <w:shd w:val="clear" w:color="auto" w:fill="E6E6E6"/>
    </w:rPr>
  </w:style>
  <w:style w:type="character" w:customStyle="1" w:styleId="cf01">
    <w:name w:val="cf01"/>
    <w:basedOn w:val="DefaultParagraphFont"/>
    <w:rsid w:val="00F91AB6"/>
    <w:rPr>
      <w:rFonts w:ascii="Segoe UI" w:hAnsi="Segoe UI" w:cs="Segoe UI" w:hint="default"/>
      <w:sz w:val="18"/>
      <w:szCs w:val="18"/>
    </w:rPr>
  </w:style>
  <w:style w:type="character" w:customStyle="1" w:styleId="normaltextrun">
    <w:name w:val="normaltextrun"/>
    <w:basedOn w:val="DefaultParagraphFont"/>
    <w:rsid w:val="00F91AB6"/>
  </w:style>
  <w:style w:type="paragraph" w:customStyle="1" w:styleId="paragraph">
    <w:name w:val="paragraph"/>
    <w:basedOn w:val="Normal"/>
    <w:rsid w:val="00F91AB6"/>
    <w:pPr>
      <w:spacing w:before="100" w:beforeAutospacing="1" w:after="100" w:afterAutospacing="1" w:line="240" w:lineRule="auto"/>
    </w:pPr>
    <w:rPr>
      <w:rFonts w:ascii="Times New Roman" w:eastAsia="Times New Roman" w:hAnsi="Times New Roman" w:cs="Times New Roman"/>
      <w:lang w:eastAsia="en-US"/>
      <w14:ligatures w14:val="standardContextual"/>
    </w:rPr>
  </w:style>
  <w:style w:type="character" w:customStyle="1" w:styleId="eop">
    <w:name w:val="eop"/>
    <w:basedOn w:val="DefaultParagraphFont"/>
    <w:rsid w:val="00F91AB6"/>
  </w:style>
  <w:style w:type="character" w:customStyle="1" w:styleId="tabchar">
    <w:name w:val="tabchar"/>
    <w:basedOn w:val="DefaultParagraphFont"/>
    <w:rsid w:val="00F91AB6"/>
  </w:style>
  <w:style w:type="paragraph" w:styleId="NormalWeb">
    <w:name w:val="Normal (Web)"/>
    <w:basedOn w:val="Normal"/>
    <w:uiPriority w:val="99"/>
    <w:unhideWhenUsed/>
    <w:rsid w:val="00F91AB6"/>
    <w:pPr>
      <w:spacing w:after="120" w:line="240" w:lineRule="auto"/>
      <w:jc w:val="both"/>
    </w:pPr>
    <w:rPr>
      <w:rFonts w:ascii="Times New Roman" w:eastAsia="Times New Roman" w:hAnsi="Times New Roman" w:cs="Times New Roman"/>
      <w:lang w:eastAsia="en-US"/>
      <w14:ligatures w14:val="standardContextual"/>
    </w:rPr>
  </w:style>
  <w:style w:type="paragraph" w:styleId="TOC3">
    <w:name w:val="toc 3"/>
    <w:basedOn w:val="Normal"/>
    <w:next w:val="Normal"/>
    <w:autoRedefine/>
    <w:uiPriority w:val="39"/>
    <w:unhideWhenUsed/>
    <w:rsid w:val="005F79EA"/>
    <w:pPr>
      <w:spacing w:after="100"/>
      <w:ind w:left="480"/>
    </w:pPr>
  </w:style>
  <w:style w:type="character" w:styleId="Strong">
    <w:name w:val="Strong"/>
    <w:basedOn w:val="DefaultParagraphFont"/>
    <w:uiPriority w:val="22"/>
    <w:qFormat/>
    <w:rsid w:val="00A96863"/>
    <w:rPr>
      <w:b/>
      <w:bCs/>
    </w:rPr>
  </w:style>
  <w:style w:type="paragraph" w:styleId="FootnoteText">
    <w:name w:val="footnote text"/>
    <w:basedOn w:val="Normal"/>
    <w:link w:val="FootnoteTextChar"/>
    <w:uiPriority w:val="99"/>
    <w:semiHidden/>
    <w:unhideWhenUsed/>
    <w:rsid w:val="00140A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0AB7"/>
    <w:rPr>
      <w:sz w:val="20"/>
      <w:szCs w:val="20"/>
    </w:rPr>
  </w:style>
  <w:style w:type="character" w:styleId="FootnoteReference">
    <w:name w:val="footnote reference"/>
    <w:basedOn w:val="DefaultParagraphFont"/>
    <w:uiPriority w:val="99"/>
    <w:semiHidden/>
    <w:unhideWhenUsed/>
    <w:rsid w:val="00140AB7"/>
    <w:rPr>
      <w:vertAlign w:val="superscript"/>
    </w:rPr>
  </w:style>
  <w:style w:type="character" w:styleId="UnresolvedMention">
    <w:name w:val="Unresolved Mention"/>
    <w:basedOn w:val="DefaultParagraphFont"/>
    <w:uiPriority w:val="99"/>
    <w:semiHidden/>
    <w:unhideWhenUsed/>
    <w:rsid w:val="00DC6169"/>
    <w:rPr>
      <w:color w:val="605E5C"/>
      <w:shd w:val="clear" w:color="auto" w:fill="E1DFDD"/>
    </w:rPr>
  </w:style>
  <w:style w:type="paragraph" w:styleId="TOC2">
    <w:name w:val="toc 2"/>
    <w:basedOn w:val="Normal"/>
    <w:next w:val="Normal"/>
    <w:autoRedefine/>
    <w:uiPriority w:val="39"/>
    <w:unhideWhenUsed/>
    <w:rsid w:val="00925998"/>
    <w:pPr>
      <w:spacing w:after="100"/>
      <w:ind w:left="240"/>
    </w:pPr>
  </w:style>
  <w:style w:type="paragraph" w:styleId="Caption">
    <w:name w:val="caption"/>
    <w:basedOn w:val="Normal"/>
    <w:next w:val="Normal"/>
    <w:uiPriority w:val="35"/>
    <w:unhideWhenUsed/>
    <w:qFormat/>
    <w:rsid w:val="009407F4"/>
    <w:pPr>
      <w:spacing w:after="200" w:line="240" w:lineRule="auto"/>
    </w:pPr>
    <w:rPr>
      <w:i/>
      <w:iCs/>
      <w:color w:val="0E2841" w:themeColor="text2"/>
      <w:sz w:val="18"/>
      <w:szCs w:val="18"/>
    </w:rPr>
  </w:style>
  <w:style w:type="paragraph" w:customStyle="1" w:styleId="Style1">
    <w:name w:val="Style1"/>
    <w:basedOn w:val="Normal"/>
    <w:link w:val="Style1Char"/>
    <w:autoRedefine/>
    <w:qFormat/>
    <w:rsid w:val="00AA4D78"/>
    <w:pPr>
      <w:adjustRightInd w:val="0"/>
      <w:snapToGrid w:val="0"/>
      <w:spacing w:before="60" w:after="20" w:line="240" w:lineRule="auto"/>
      <w:ind w:left="43"/>
    </w:pPr>
    <w:rPr>
      <w:rFonts w:ascii="DIN 2014" w:eastAsiaTheme="minorHAnsi" w:hAnsi="DIN 2014" w:cs="Times New Roman (Body CS)"/>
      <w:color w:val="3C4E56"/>
      <w:sz w:val="17"/>
      <w:lang w:val="en-ID" w:eastAsia="en-US"/>
    </w:rPr>
  </w:style>
  <w:style w:type="character" w:customStyle="1" w:styleId="Style1Char">
    <w:name w:val="Style1 Char"/>
    <w:basedOn w:val="DefaultParagraphFont"/>
    <w:link w:val="Style1"/>
    <w:rsid w:val="00AA4D78"/>
    <w:rPr>
      <w:rFonts w:ascii="DIN 2014" w:eastAsiaTheme="minorHAnsi" w:hAnsi="DIN 2014" w:cs="Times New Roman (Body CS)"/>
      <w:color w:val="3C4E56"/>
      <w:sz w:val="17"/>
      <w:lang w:val="en-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6575">
      <w:bodyDiv w:val="1"/>
      <w:marLeft w:val="0"/>
      <w:marRight w:val="0"/>
      <w:marTop w:val="0"/>
      <w:marBottom w:val="0"/>
      <w:divBdr>
        <w:top w:val="none" w:sz="0" w:space="0" w:color="auto"/>
        <w:left w:val="none" w:sz="0" w:space="0" w:color="auto"/>
        <w:bottom w:val="none" w:sz="0" w:space="0" w:color="auto"/>
        <w:right w:val="none" w:sz="0" w:space="0" w:color="auto"/>
      </w:divBdr>
    </w:div>
    <w:div w:id="61294071">
      <w:bodyDiv w:val="1"/>
      <w:marLeft w:val="0"/>
      <w:marRight w:val="0"/>
      <w:marTop w:val="0"/>
      <w:marBottom w:val="0"/>
      <w:divBdr>
        <w:top w:val="none" w:sz="0" w:space="0" w:color="auto"/>
        <w:left w:val="none" w:sz="0" w:space="0" w:color="auto"/>
        <w:bottom w:val="none" w:sz="0" w:space="0" w:color="auto"/>
        <w:right w:val="none" w:sz="0" w:space="0" w:color="auto"/>
      </w:divBdr>
    </w:div>
    <w:div w:id="90778684">
      <w:bodyDiv w:val="1"/>
      <w:marLeft w:val="0"/>
      <w:marRight w:val="0"/>
      <w:marTop w:val="0"/>
      <w:marBottom w:val="0"/>
      <w:divBdr>
        <w:top w:val="none" w:sz="0" w:space="0" w:color="auto"/>
        <w:left w:val="none" w:sz="0" w:space="0" w:color="auto"/>
        <w:bottom w:val="none" w:sz="0" w:space="0" w:color="auto"/>
        <w:right w:val="none" w:sz="0" w:space="0" w:color="auto"/>
      </w:divBdr>
    </w:div>
    <w:div w:id="95759563">
      <w:bodyDiv w:val="1"/>
      <w:marLeft w:val="0"/>
      <w:marRight w:val="0"/>
      <w:marTop w:val="0"/>
      <w:marBottom w:val="0"/>
      <w:divBdr>
        <w:top w:val="none" w:sz="0" w:space="0" w:color="auto"/>
        <w:left w:val="none" w:sz="0" w:space="0" w:color="auto"/>
        <w:bottom w:val="none" w:sz="0" w:space="0" w:color="auto"/>
        <w:right w:val="none" w:sz="0" w:space="0" w:color="auto"/>
      </w:divBdr>
      <w:divsChild>
        <w:div w:id="1743598125">
          <w:marLeft w:val="450"/>
          <w:marRight w:val="0"/>
          <w:marTop w:val="0"/>
          <w:marBottom w:val="0"/>
          <w:divBdr>
            <w:top w:val="none" w:sz="0" w:space="0" w:color="auto"/>
            <w:left w:val="none" w:sz="0" w:space="0" w:color="auto"/>
            <w:bottom w:val="none" w:sz="0" w:space="0" w:color="auto"/>
            <w:right w:val="none" w:sz="0" w:space="0" w:color="auto"/>
          </w:divBdr>
        </w:div>
      </w:divsChild>
    </w:div>
    <w:div w:id="135418383">
      <w:bodyDiv w:val="1"/>
      <w:marLeft w:val="0"/>
      <w:marRight w:val="0"/>
      <w:marTop w:val="0"/>
      <w:marBottom w:val="0"/>
      <w:divBdr>
        <w:top w:val="none" w:sz="0" w:space="0" w:color="auto"/>
        <w:left w:val="none" w:sz="0" w:space="0" w:color="auto"/>
        <w:bottom w:val="none" w:sz="0" w:space="0" w:color="auto"/>
        <w:right w:val="none" w:sz="0" w:space="0" w:color="auto"/>
      </w:divBdr>
    </w:div>
    <w:div w:id="140195133">
      <w:bodyDiv w:val="1"/>
      <w:marLeft w:val="0"/>
      <w:marRight w:val="0"/>
      <w:marTop w:val="0"/>
      <w:marBottom w:val="0"/>
      <w:divBdr>
        <w:top w:val="none" w:sz="0" w:space="0" w:color="auto"/>
        <w:left w:val="none" w:sz="0" w:space="0" w:color="auto"/>
        <w:bottom w:val="none" w:sz="0" w:space="0" w:color="auto"/>
        <w:right w:val="none" w:sz="0" w:space="0" w:color="auto"/>
      </w:divBdr>
      <w:divsChild>
        <w:div w:id="646712151">
          <w:marLeft w:val="450"/>
          <w:marRight w:val="0"/>
          <w:marTop w:val="0"/>
          <w:marBottom w:val="0"/>
          <w:divBdr>
            <w:top w:val="none" w:sz="0" w:space="0" w:color="auto"/>
            <w:left w:val="none" w:sz="0" w:space="0" w:color="auto"/>
            <w:bottom w:val="none" w:sz="0" w:space="0" w:color="auto"/>
            <w:right w:val="none" w:sz="0" w:space="0" w:color="auto"/>
          </w:divBdr>
        </w:div>
      </w:divsChild>
    </w:div>
    <w:div w:id="181356909">
      <w:bodyDiv w:val="1"/>
      <w:marLeft w:val="0"/>
      <w:marRight w:val="0"/>
      <w:marTop w:val="0"/>
      <w:marBottom w:val="0"/>
      <w:divBdr>
        <w:top w:val="none" w:sz="0" w:space="0" w:color="auto"/>
        <w:left w:val="none" w:sz="0" w:space="0" w:color="auto"/>
        <w:bottom w:val="none" w:sz="0" w:space="0" w:color="auto"/>
        <w:right w:val="none" w:sz="0" w:space="0" w:color="auto"/>
      </w:divBdr>
    </w:div>
    <w:div w:id="186144933">
      <w:bodyDiv w:val="1"/>
      <w:marLeft w:val="0"/>
      <w:marRight w:val="0"/>
      <w:marTop w:val="0"/>
      <w:marBottom w:val="0"/>
      <w:divBdr>
        <w:top w:val="none" w:sz="0" w:space="0" w:color="auto"/>
        <w:left w:val="none" w:sz="0" w:space="0" w:color="auto"/>
        <w:bottom w:val="none" w:sz="0" w:space="0" w:color="auto"/>
        <w:right w:val="none" w:sz="0" w:space="0" w:color="auto"/>
      </w:divBdr>
      <w:divsChild>
        <w:div w:id="1726874728">
          <w:marLeft w:val="450"/>
          <w:marRight w:val="0"/>
          <w:marTop w:val="0"/>
          <w:marBottom w:val="0"/>
          <w:divBdr>
            <w:top w:val="none" w:sz="0" w:space="0" w:color="auto"/>
            <w:left w:val="none" w:sz="0" w:space="0" w:color="auto"/>
            <w:bottom w:val="none" w:sz="0" w:space="0" w:color="auto"/>
            <w:right w:val="none" w:sz="0" w:space="0" w:color="auto"/>
          </w:divBdr>
        </w:div>
      </w:divsChild>
    </w:div>
    <w:div w:id="244270059">
      <w:bodyDiv w:val="1"/>
      <w:marLeft w:val="0"/>
      <w:marRight w:val="0"/>
      <w:marTop w:val="0"/>
      <w:marBottom w:val="0"/>
      <w:divBdr>
        <w:top w:val="none" w:sz="0" w:space="0" w:color="auto"/>
        <w:left w:val="none" w:sz="0" w:space="0" w:color="auto"/>
        <w:bottom w:val="none" w:sz="0" w:space="0" w:color="auto"/>
        <w:right w:val="none" w:sz="0" w:space="0" w:color="auto"/>
      </w:divBdr>
    </w:div>
    <w:div w:id="244844413">
      <w:bodyDiv w:val="1"/>
      <w:marLeft w:val="0"/>
      <w:marRight w:val="0"/>
      <w:marTop w:val="0"/>
      <w:marBottom w:val="0"/>
      <w:divBdr>
        <w:top w:val="none" w:sz="0" w:space="0" w:color="auto"/>
        <w:left w:val="none" w:sz="0" w:space="0" w:color="auto"/>
        <w:bottom w:val="none" w:sz="0" w:space="0" w:color="auto"/>
        <w:right w:val="none" w:sz="0" w:space="0" w:color="auto"/>
      </w:divBdr>
    </w:div>
    <w:div w:id="282853801">
      <w:bodyDiv w:val="1"/>
      <w:marLeft w:val="0"/>
      <w:marRight w:val="0"/>
      <w:marTop w:val="0"/>
      <w:marBottom w:val="0"/>
      <w:divBdr>
        <w:top w:val="none" w:sz="0" w:space="0" w:color="auto"/>
        <w:left w:val="none" w:sz="0" w:space="0" w:color="auto"/>
        <w:bottom w:val="none" w:sz="0" w:space="0" w:color="auto"/>
        <w:right w:val="none" w:sz="0" w:space="0" w:color="auto"/>
      </w:divBdr>
      <w:divsChild>
        <w:div w:id="252321468">
          <w:marLeft w:val="0"/>
          <w:marRight w:val="0"/>
          <w:marTop w:val="0"/>
          <w:marBottom w:val="0"/>
          <w:divBdr>
            <w:top w:val="none" w:sz="0" w:space="0" w:color="auto"/>
            <w:left w:val="none" w:sz="0" w:space="0" w:color="auto"/>
            <w:bottom w:val="none" w:sz="0" w:space="0" w:color="auto"/>
            <w:right w:val="none" w:sz="0" w:space="0" w:color="auto"/>
          </w:divBdr>
          <w:divsChild>
            <w:div w:id="52851354">
              <w:marLeft w:val="0"/>
              <w:marRight w:val="0"/>
              <w:marTop w:val="0"/>
              <w:marBottom w:val="0"/>
              <w:divBdr>
                <w:top w:val="none" w:sz="0" w:space="0" w:color="auto"/>
                <w:left w:val="none" w:sz="0" w:space="0" w:color="auto"/>
                <w:bottom w:val="none" w:sz="0" w:space="0" w:color="auto"/>
                <w:right w:val="none" w:sz="0" w:space="0" w:color="auto"/>
              </w:divBdr>
            </w:div>
            <w:div w:id="60447310">
              <w:marLeft w:val="0"/>
              <w:marRight w:val="0"/>
              <w:marTop w:val="0"/>
              <w:marBottom w:val="0"/>
              <w:divBdr>
                <w:top w:val="none" w:sz="0" w:space="0" w:color="auto"/>
                <w:left w:val="none" w:sz="0" w:space="0" w:color="auto"/>
                <w:bottom w:val="none" w:sz="0" w:space="0" w:color="auto"/>
                <w:right w:val="none" w:sz="0" w:space="0" w:color="auto"/>
              </w:divBdr>
            </w:div>
            <w:div w:id="194848424">
              <w:marLeft w:val="0"/>
              <w:marRight w:val="0"/>
              <w:marTop w:val="0"/>
              <w:marBottom w:val="0"/>
              <w:divBdr>
                <w:top w:val="none" w:sz="0" w:space="0" w:color="auto"/>
                <w:left w:val="none" w:sz="0" w:space="0" w:color="auto"/>
                <w:bottom w:val="none" w:sz="0" w:space="0" w:color="auto"/>
                <w:right w:val="none" w:sz="0" w:space="0" w:color="auto"/>
              </w:divBdr>
            </w:div>
            <w:div w:id="347412596">
              <w:marLeft w:val="0"/>
              <w:marRight w:val="0"/>
              <w:marTop w:val="0"/>
              <w:marBottom w:val="0"/>
              <w:divBdr>
                <w:top w:val="none" w:sz="0" w:space="0" w:color="auto"/>
                <w:left w:val="none" w:sz="0" w:space="0" w:color="auto"/>
                <w:bottom w:val="none" w:sz="0" w:space="0" w:color="auto"/>
                <w:right w:val="none" w:sz="0" w:space="0" w:color="auto"/>
              </w:divBdr>
            </w:div>
            <w:div w:id="368381247">
              <w:marLeft w:val="0"/>
              <w:marRight w:val="0"/>
              <w:marTop w:val="0"/>
              <w:marBottom w:val="0"/>
              <w:divBdr>
                <w:top w:val="none" w:sz="0" w:space="0" w:color="auto"/>
                <w:left w:val="none" w:sz="0" w:space="0" w:color="auto"/>
                <w:bottom w:val="none" w:sz="0" w:space="0" w:color="auto"/>
                <w:right w:val="none" w:sz="0" w:space="0" w:color="auto"/>
              </w:divBdr>
            </w:div>
            <w:div w:id="460078179">
              <w:marLeft w:val="0"/>
              <w:marRight w:val="0"/>
              <w:marTop w:val="0"/>
              <w:marBottom w:val="0"/>
              <w:divBdr>
                <w:top w:val="none" w:sz="0" w:space="0" w:color="auto"/>
                <w:left w:val="none" w:sz="0" w:space="0" w:color="auto"/>
                <w:bottom w:val="none" w:sz="0" w:space="0" w:color="auto"/>
                <w:right w:val="none" w:sz="0" w:space="0" w:color="auto"/>
              </w:divBdr>
            </w:div>
            <w:div w:id="474493031">
              <w:marLeft w:val="0"/>
              <w:marRight w:val="0"/>
              <w:marTop w:val="0"/>
              <w:marBottom w:val="0"/>
              <w:divBdr>
                <w:top w:val="none" w:sz="0" w:space="0" w:color="auto"/>
                <w:left w:val="none" w:sz="0" w:space="0" w:color="auto"/>
                <w:bottom w:val="none" w:sz="0" w:space="0" w:color="auto"/>
                <w:right w:val="none" w:sz="0" w:space="0" w:color="auto"/>
              </w:divBdr>
            </w:div>
            <w:div w:id="677276449">
              <w:marLeft w:val="0"/>
              <w:marRight w:val="0"/>
              <w:marTop w:val="0"/>
              <w:marBottom w:val="0"/>
              <w:divBdr>
                <w:top w:val="none" w:sz="0" w:space="0" w:color="auto"/>
                <w:left w:val="none" w:sz="0" w:space="0" w:color="auto"/>
                <w:bottom w:val="none" w:sz="0" w:space="0" w:color="auto"/>
                <w:right w:val="none" w:sz="0" w:space="0" w:color="auto"/>
              </w:divBdr>
            </w:div>
            <w:div w:id="907542982">
              <w:marLeft w:val="0"/>
              <w:marRight w:val="0"/>
              <w:marTop w:val="0"/>
              <w:marBottom w:val="0"/>
              <w:divBdr>
                <w:top w:val="none" w:sz="0" w:space="0" w:color="auto"/>
                <w:left w:val="none" w:sz="0" w:space="0" w:color="auto"/>
                <w:bottom w:val="none" w:sz="0" w:space="0" w:color="auto"/>
                <w:right w:val="none" w:sz="0" w:space="0" w:color="auto"/>
              </w:divBdr>
            </w:div>
            <w:div w:id="946736092">
              <w:marLeft w:val="0"/>
              <w:marRight w:val="0"/>
              <w:marTop w:val="0"/>
              <w:marBottom w:val="0"/>
              <w:divBdr>
                <w:top w:val="none" w:sz="0" w:space="0" w:color="auto"/>
                <w:left w:val="none" w:sz="0" w:space="0" w:color="auto"/>
                <w:bottom w:val="none" w:sz="0" w:space="0" w:color="auto"/>
                <w:right w:val="none" w:sz="0" w:space="0" w:color="auto"/>
              </w:divBdr>
            </w:div>
            <w:div w:id="998651648">
              <w:marLeft w:val="0"/>
              <w:marRight w:val="0"/>
              <w:marTop w:val="0"/>
              <w:marBottom w:val="0"/>
              <w:divBdr>
                <w:top w:val="none" w:sz="0" w:space="0" w:color="auto"/>
                <w:left w:val="none" w:sz="0" w:space="0" w:color="auto"/>
                <w:bottom w:val="none" w:sz="0" w:space="0" w:color="auto"/>
                <w:right w:val="none" w:sz="0" w:space="0" w:color="auto"/>
              </w:divBdr>
            </w:div>
            <w:div w:id="1191069973">
              <w:marLeft w:val="0"/>
              <w:marRight w:val="0"/>
              <w:marTop w:val="0"/>
              <w:marBottom w:val="0"/>
              <w:divBdr>
                <w:top w:val="none" w:sz="0" w:space="0" w:color="auto"/>
                <w:left w:val="none" w:sz="0" w:space="0" w:color="auto"/>
                <w:bottom w:val="none" w:sz="0" w:space="0" w:color="auto"/>
                <w:right w:val="none" w:sz="0" w:space="0" w:color="auto"/>
              </w:divBdr>
            </w:div>
            <w:div w:id="1621036781">
              <w:marLeft w:val="0"/>
              <w:marRight w:val="0"/>
              <w:marTop w:val="0"/>
              <w:marBottom w:val="0"/>
              <w:divBdr>
                <w:top w:val="none" w:sz="0" w:space="0" w:color="auto"/>
                <w:left w:val="none" w:sz="0" w:space="0" w:color="auto"/>
                <w:bottom w:val="none" w:sz="0" w:space="0" w:color="auto"/>
                <w:right w:val="none" w:sz="0" w:space="0" w:color="auto"/>
              </w:divBdr>
            </w:div>
            <w:div w:id="1669484906">
              <w:marLeft w:val="0"/>
              <w:marRight w:val="0"/>
              <w:marTop w:val="0"/>
              <w:marBottom w:val="0"/>
              <w:divBdr>
                <w:top w:val="none" w:sz="0" w:space="0" w:color="auto"/>
                <w:left w:val="none" w:sz="0" w:space="0" w:color="auto"/>
                <w:bottom w:val="none" w:sz="0" w:space="0" w:color="auto"/>
                <w:right w:val="none" w:sz="0" w:space="0" w:color="auto"/>
              </w:divBdr>
            </w:div>
            <w:div w:id="1701391358">
              <w:marLeft w:val="0"/>
              <w:marRight w:val="0"/>
              <w:marTop w:val="0"/>
              <w:marBottom w:val="0"/>
              <w:divBdr>
                <w:top w:val="none" w:sz="0" w:space="0" w:color="auto"/>
                <w:left w:val="none" w:sz="0" w:space="0" w:color="auto"/>
                <w:bottom w:val="none" w:sz="0" w:space="0" w:color="auto"/>
                <w:right w:val="none" w:sz="0" w:space="0" w:color="auto"/>
              </w:divBdr>
            </w:div>
            <w:div w:id="1737049123">
              <w:marLeft w:val="0"/>
              <w:marRight w:val="0"/>
              <w:marTop w:val="0"/>
              <w:marBottom w:val="0"/>
              <w:divBdr>
                <w:top w:val="none" w:sz="0" w:space="0" w:color="auto"/>
                <w:left w:val="none" w:sz="0" w:space="0" w:color="auto"/>
                <w:bottom w:val="none" w:sz="0" w:space="0" w:color="auto"/>
                <w:right w:val="none" w:sz="0" w:space="0" w:color="auto"/>
              </w:divBdr>
            </w:div>
            <w:div w:id="1847746408">
              <w:marLeft w:val="0"/>
              <w:marRight w:val="0"/>
              <w:marTop w:val="0"/>
              <w:marBottom w:val="0"/>
              <w:divBdr>
                <w:top w:val="none" w:sz="0" w:space="0" w:color="auto"/>
                <w:left w:val="none" w:sz="0" w:space="0" w:color="auto"/>
                <w:bottom w:val="none" w:sz="0" w:space="0" w:color="auto"/>
                <w:right w:val="none" w:sz="0" w:space="0" w:color="auto"/>
              </w:divBdr>
            </w:div>
            <w:div w:id="2025859541">
              <w:marLeft w:val="0"/>
              <w:marRight w:val="0"/>
              <w:marTop w:val="0"/>
              <w:marBottom w:val="0"/>
              <w:divBdr>
                <w:top w:val="none" w:sz="0" w:space="0" w:color="auto"/>
                <w:left w:val="none" w:sz="0" w:space="0" w:color="auto"/>
                <w:bottom w:val="none" w:sz="0" w:space="0" w:color="auto"/>
                <w:right w:val="none" w:sz="0" w:space="0" w:color="auto"/>
              </w:divBdr>
            </w:div>
            <w:div w:id="2096316333">
              <w:marLeft w:val="0"/>
              <w:marRight w:val="0"/>
              <w:marTop w:val="0"/>
              <w:marBottom w:val="0"/>
              <w:divBdr>
                <w:top w:val="none" w:sz="0" w:space="0" w:color="auto"/>
                <w:left w:val="none" w:sz="0" w:space="0" w:color="auto"/>
                <w:bottom w:val="none" w:sz="0" w:space="0" w:color="auto"/>
                <w:right w:val="none" w:sz="0" w:space="0" w:color="auto"/>
              </w:divBdr>
            </w:div>
          </w:divsChild>
        </w:div>
        <w:div w:id="628635882">
          <w:marLeft w:val="0"/>
          <w:marRight w:val="0"/>
          <w:marTop w:val="0"/>
          <w:marBottom w:val="0"/>
          <w:divBdr>
            <w:top w:val="none" w:sz="0" w:space="0" w:color="auto"/>
            <w:left w:val="none" w:sz="0" w:space="0" w:color="auto"/>
            <w:bottom w:val="none" w:sz="0" w:space="0" w:color="auto"/>
            <w:right w:val="none" w:sz="0" w:space="0" w:color="auto"/>
          </w:divBdr>
          <w:divsChild>
            <w:div w:id="224948398">
              <w:marLeft w:val="0"/>
              <w:marRight w:val="0"/>
              <w:marTop w:val="0"/>
              <w:marBottom w:val="0"/>
              <w:divBdr>
                <w:top w:val="none" w:sz="0" w:space="0" w:color="auto"/>
                <w:left w:val="none" w:sz="0" w:space="0" w:color="auto"/>
                <w:bottom w:val="none" w:sz="0" w:space="0" w:color="auto"/>
                <w:right w:val="none" w:sz="0" w:space="0" w:color="auto"/>
              </w:divBdr>
            </w:div>
            <w:div w:id="228081849">
              <w:marLeft w:val="0"/>
              <w:marRight w:val="0"/>
              <w:marTop w:val="0"/>
              <w:marBottom w:val="0"/>
              <w:divBdr>
                <w:top w:val="none" w:sz="0" w:space="0" w:color="auto"/>
                <w:left w:val="none" w:sz="0" w:space="0" w:color="auto"/>
                <w:bottom w:val="none" w:sz="0" w:space="0" w:color="auto"/>
                <w:right w:val="none" w:sz="0" w:space="0" w:color="auto"/>
              </w:divBdr>
            </w:div>
            <w:div w:id="276259585">
              <w:marLeft w:val="0"/>
              <w:marRight w:val="0"/>
              <w:marTop w:val="0"/>
              <w:marBottom w:val="0"/>
              <w:divBdr>
                <w:top w:val="none" w:sz="0" w:space="0" w:color="auto"/>
                <w:left w:val="none" w:sz="0" w:space="0" w:color="auto"/>
                <w:bottom w:val="none" w:sz="0" w:space="0" w:color="auto"/>
                <w:right w:val="none" w:sz="0" w:space="0" w:color="auto"/>
              </w:divBdr>
            </w:div>
            <w:div w:id="330958579">
              <w:marLeft w:val="0"/>
              <w:marRight w:val="0"/>
              <w:marTop w:val="0"/>
              <w:marBottom w:val="0"/>
              <w:divBdr>
                <w:top w:val="none" w:sz="0" w:space="0" w:color="auto"/>
                <w:left w:val="none" w:sz="0" w:space="0" w:color="auto"/>
                <w:bottom w:val="none" w:sz="0" w:space="0" w:color="auto"/>
                <w:right w:val="none" w:sz="0" w:space="0" w:color="auto"/>
              </w:divBdr>
            </w:div>
            <w:div w:id="353575647">
              <w:marLeft w:val="0"/>
              <w:marRight w:val="0"/>
              <w:marTop w:val="0"/>
              <w:marBottom w:val="0"/>
              <w:divBdr>
                <w:top w:val="none" w:sz="0" w:space="0" w:color="auto"/>
                <w:left w:val="none" w:sz="0" w:space="0" w:color="auto"/>
                <w:bottom w:val="none" w:sz="0" w:space="0" w:color="auto"/>
                <w:right w:val="none" w:sz="0" w:space="0" w:color="auto"/>
              </w:divBdr>
            </w:div>
            <w:div w:id="373313868">
              <w:marLeft w:val="0"/>
              <w:marRight w:val="0"/>
              <w:marTop w:val="0"/>
              <w:marBottom w:val="0"/>
              <w:divBdr>
                <w:top w:val="none" w:sz="0" w:space="0" w:color="auto"/>
                <w:left w:val="none" w:sz="0" w:space="0" w:color="auto"/>
                <w:bottom w:val="none" w:sz="0" w:space="0" w:color="auto"/>
                <w:right w:val="none" w:sz="0" w:space="0" w:color="auto"/>
              </w:divBdr>
            </w:div>
            <w:div w:id="393704416">
              <w:marLeft w:val="0"/>
              <w:marRight w:val="0"/>
              <w:marTop w:val="0"/>
              <w:marBottom w:val="0"/>
              <w:divBdr>
                <w:top w:val="none" w:sz="0" w:space="0" w:color="auto"/>
                <w:left w:val="none" w:sz="0" w:space="0" w:color="auto"/>
                <w:bottom w:val="none" w:sz="0" w:space="0" w:color="auto"/>
                <w:right w:val="none" w:sz="0" w:space="0" w:color="auto"/>
              </w:divBdr>
            </w:div>
            <w:div w:id="399986947">
              <w:marLeft w:val="0"/>
              <w:marRight w:val="0"/>
              <w:marTop w:val="0"/>
              <w:marBottom w:val="0"/>
              <w:divBdr>
                <w:top w:val="none" w:sz="0" w:space="0" w:color="auto"/>
                <w:left w:val="none" w:sz="0" w:space="0" w:color="auto"/>
                <w:bottom w:val="none" w:sz="0" w:space="0" w:color="auto"/>
                <w:right w:val="none" w:sz="0" w:space="0" w:color="auto"/>
              </w:divBdr>
            </w:div>
            <w:div w:id="469204482">
              <w:marLeft w:val="0"/>
              <w:marRight w:val="0"/>
              <w:marTop w:val="0"/>
              <w:marBottom w:val="0"/>
              <w:divBdr>
                <w:top w:val="none" w:sz="0" w:space="0" w:color="auto"/>
                <w:left w:val="none" w:sz="0" w:space="0" w:color="auto"/>
                <w:bottom w:val="none" w:sz="0" w:space="0" w:color="auto"/>
                <w:right w:val="none" w:sz="0" w:space="0" w:color="auto"/>
              </w:divBdr>
            </w:div>
            <w:div w:id="596403391">
              <w:marLeft w:val="0"/>
              <w:marRight w:val="0"/>
              <w:marTop w:val="0"/>
              <w:marBottom w:val="0"/>
              <w:divBdr>
                <w:top w:val="none" w:sz="0" w:space="0" w:color="auto"/>
                <w:left w:val="none" w:sz="0" w:space="0" w:color="auto"/>
                <w:bottom w:val="none" w:sz="0" w:space="0" w:color="auto"/>
                <w:right w:val="none" w:sz="0" w:space="0" w:color="auto"/>
              </w:divBdr>
            </w:div>
            <w:div w:id="946041071">
              <w:marLeft w:val="0"/>
              <w:marRight w:val="0"/>
              <w:marTop w:val="0"/>
              <w:marBottom w:val="0"/>
              <w:divBdr>
                <w:top w:val="none" w:sz="0" w:space="0" w:color="auto"/>
                <w:left w:val="none" w:sz="0" w:space="0" w:color="auto"/>
                <w:bottom w:val="none" w:sz="0" w:space="0" w:color="auto"/>
                <w:right w:val="none" w:sz="0" w:space="0" w:color="auto"/>
              </w:divBdr>
            </w:div>
            <w:div w:id="1396314420">
              <w:marLeft w:val="0"/>
              <w:marRight w:val="0"/>
              <w:marTop w:val="0"/>
              <w:marBottom w:val="0"/>
              <w:divBdr>
                <w:top w:val="none" w:sz="0" w:space="0" w:color="auto"/>
                <w:left w:val="none" w:sz="0" w:space="0" w:color="auto"/>
                <w:bottom w:val="none" w:sz="0" w:space="0" w:color="auto"/>
                <w:right w:val="none" w:sz="0" w:space="0" w:color="auto"/>
              </w:divBdr>
            </w:div>
            <w:div w:id="1440836872">
              <w:marLeft w:val="0"/>
              <w:marRight w:val="0"/>
              <w:marTop w:val="0"/>
              <w:marBottom w:val="0"/>
              <w:divBdr>
                <w:top w:val="none" w:sz="0" w:space="0" w:color="auto"/>
                <w:left w:val="none" w:sz="0" w:space="0" w:color="auto"/>
                <w:bottom w:val="none" w:sz="0" w:space="0" w:color="auto"/>
                <w:right w:val="none" w:sz="0" w:space="0" w:color="auto"/>
              </w:divBdr>
            </w:div>
            <w:div w:id="1489058721">
              <w:marLeft w:val="0"/>
              <w:marRight w:val="0"/>
              <w:marTop w:val="0"/>
              <w:marBottom w:val="0"/>
              <w:divBdr>
                <w:top w:val="none" w:sz="0" w:space="0" w:color="auto"/>
                <w:left w:val="none" w:sz="0" w:space="0" w:color="auto"/>
                <w:bottom w:val="none" w:sz="0" w:space="0" w:color="auto"/>
                <w:right w:val="none" w:sz="0" w:space="0" w:color="auto"/>
              </w:divBdr>
            </w:div>
            <w:div w:id="1647859207">
              <w:marLeft w:val="0"/>
              <w:marRight w:val="0"/>
              <w:marTop w:val="0"/>
              <w:marBottom w:val="0"/>
              <w:divBdr>
                <w:top w:val="none" w:sz="0" w:space="0" w:color="auto"/>
                <w:left w:val="none" w:sz="0" w:space="0" w:color="auto"/>
                <w:bottom w:val="none" w:sz="0" w:space="0" w:color="auto"/>
                <w:right w:val="none" w:sz="0" w:space="0" w:color="auto"/>
              </w:divBdr>
            </w:div>
            <w:div w:id="1707947089">
              <w:marLeft w:val="0"/>
              <w:marRight w:val="0"/>
              <w:marTop w:val="0"/>
              <w:marBottom w:val="0"/>
              <w:divBdr>
                <w:top w:val="none" w:sz="0" w:space="0" w:color="auto"/>
                <w:left w:val="none" w:sz="0" w:space="0" w:color="auto"/>
                <w:bottom w:val="none" w:sz="0" w:space="0" w:color="auto"/>
                <w:right w:val="none" w:sz="0" w:space="0" w:color="auto"/>
              </w:divBdr>
            </w:div>
            <w:div w:id="1943761885">
              <w:marLeft w:val="0"/>
              <w:marRight w:val="0"/>
              <w:marTop w:val="0"/>
              <w:marBottom w:val="0"/>
              <w:divBdr>
                <w:top w:val="none" w:sz="0" w:space="0" w:color="auto"/>
                <w:left w:val="none" w:sz="0" w:space="0" w:color="auto"/>
                <w:bottom w:val="none" w:sz="0" w:space="0" w:color="auto"/>
                <w:right w:val="none" w:sz="0" w:space="0" w:color="auto"/>
              </w:divBdr>
            </w:div>
            <w:div w:id="1958170942">
              <w:marLeft w:val="0"/>
              <w:marRight w:val="0"/>
              <w:marTop w:val="0"/>
              <w:marBottom w:val="0"/>
              <w:divBdr>
                <w:top w:val="none" w:sz="0" w:space="0" w:color="auto"/>
                <w:left w:val="none" w:sz="0" w:space="0" w:color="auto"/>
                <w:bottom w:val="none" w:sz="0" w:space="0" w:color="auto"/>
                <w:right w:val="none" w:sz="0" w:space="0" w:color="auto"/>
              </w:divBdr>
            </w:div>
            <w:div w:id="2043435899">
              <w:marLeft w:val="0"/>
              <w:marRight w:val="0"/>
              <w:marTop w:val="0"/>
              <w:marBottom w:val="0"/>
              <w:divBdr>
                <w:top w:val="none" w:sz="0" w:space="0" w:color="auto"/>
                <w:left w:val="none" w:sz="0" w:space="0" w:color="auto"/>
                <w:bottom w:val="none" w:sz="0" w:space="0" w:color="auto"/>
                <w:right w:val="none" w:sz="0" w:space="0" w:color="auto"/>
              </w:divBdr>
            </w:div>
            <w:div w:id="2100175706">
              <w:marLeft w:val="0"/>
              <w:marRight w:val="0"/>
              <w:marTop w:val="0"/>
              <w:marBottom w:val="0"/>
              <w:divBdr>
                <w:top w:val="none" w:sz="0" w:space="0" w:color="auto"/>
                <w:left w:val="none" w:sz="0" w:space="0" w:color="auto"/>
                <w:bottom w:val="none" w:sz="0" w:space="0" w:color="auto"/>
                <w:right w:val="none" w:sz="0" w:space="0" w:color="auto"/>
              </w:divBdr>
            </w:div>
          </w:divsChild>
        </w:div>
        <w:div w:id="740760444">
          <w:marLeft w:val="0"/>
          <w:marRight w:val="0"/>
          <w:marTop w:val="0"/>
          <w:marBottom w:val="0"/>
          <w:divBdr>
            <w:top w:val="none" w:sz="0" w:space="0" w:color="auto"/>
            <w:left w:val="none" w:sz="0" w:space="0" w:color="auto"/>
            <w:bottom w:val="none" w:sz="0" w:space="0" w:color="auto"/>
            <w:right w:val="none" w:sz="0" w:space="0" w:color="auto"/>
          </w:divBdr>
          <w:divsChild>
            <w:div w:id="89736709">
              <w:marLeft w:val="0"/>
              <w:marRight w:val="0"/>
              <w:marTop w:val="0"/>
              <w:marBottom w:val="0"/>
              <w:divBdr>
                <w:top w:val="none" w:sz="0" w:space="0" w:color="auto"/>
                <w:left w:val="none" w:sz="0" w:space="0" w:color="auto"/>
                <w:bottom w:val="none" w:sz="0" w:space="0" w:color="auto"/>
                <w:right w:val="none" w:sz="0" w:space="0" w:color="auto"/>
              </w:divBdr>
            </w:div>
            <w:div w:id="295063849">
              <w:marLeft w:val="0"/>
              <w:marRight w:val="0"/>
              <w:marTop w:val="0"/>
              <w:marBottom w:val="0"/>
              <w:divBdr>
                <w:top w:val="none" w:sz="0" w:space="0" w:color="auto"/>
                <w:left w:val="none" w:sz="0" w:space="0" w:color="auto"/>
                <w:bottom w:val="none" w:sz="0" w:space="0" w:color="auto"/>
                <w:right w:val="none" w:sz="0" w:space="0" w:color="auto"/>
              </w:divBdr>
            </w:div>
            <w:div w:id="325716384">
              <w:marLeft w:val="0"/>
              <w:marRight w:val="0"/>
              <w:marTop w:val="0"/>
              <w:marBottom w:val="0"/>
              <w:divBdr>
                <w:top w:val="none" w:sz="0" w:space="0" w:color="auto"/>
                <w:left w:val="none" w:sz="0" w:space="0" w:color="auto"/>
                <w:bottom w:val="none" w:sz="0" w:space="0" w:color="auto"/>
                <w:right w:val="none" w:sz="0" w:space="0" w:color="auto"/>
              </w:divBdr>
            </w:div>
            <w:div w:id="452947528">
              <w:marLeft w:val="0"/>
              <w:marRight w:val="0"/>
              <w:marTop w:val="0"/>
              <w:marBottom w:val="0"/>
              <w:divBdr>
                <w:top w:val="none" w:sz="0" w:space="0" w:color="auto"/>
                <w:left w:val="none" w:sz="0" w:space="0" w:color="auto"/>
                <w:bottom w:val="none" w:sz="0" w:space="0" w:color="auto"/>
                <w:right w:val="none" w:sz="0" w:space="0" w:color="auto"/>
              </w:divBdr>
            </w:div>
            <w:div w:id="620110959">
              <w:marLeft w:val="0"/>
              <w:marRight w:val="0"/>
              <w:marTop w:val="0"/>
              <w:marBottom w:val="0"/>
              <w:divBdr>
                <w:top w:val="none" w:sz="0" w:space="0" w:color="auto"/>
                <w:left w:val="none" w:sz="0" w:space="0" w:color="auto"/>
                <w:bottom w:val="none" w:sz="0" w:space="0" w:color="auto"/>
                <w:right w:val="none" w:sz="0" w:space="0" w:color="auto"/>
              </w:divBdr>
            </w:div>
            <w:div w:id="744692919">
              <w:marLeft w:val="0"/>
              <w:marRight w:val="0"/>
              <w:marTop w:val="0"/>
              <w:marBottom w:val="0"/>
              <w:divBdr>
                <w:top w:val="none" w:sz="0" w:space="0" w:color="auto"/>
                <w:left w:val="none" w:sz="0" w:space="0" w:color="auto"/>
                <w:bottom w:val="none" w:sz="0" w:space="0" w:color="auto"/>
                <w:right w:val="none" w:sz="0" w:space="0" w:color="auto"/>
              </w:divBdr>
            </w:div>
            <w:div w:id="913123795">
              <w:marLeft w:val="0"/>
              <w:marRight w:val="0"/>
              <w:marTop w:val="0"/>
              <w:marBottom w:val="0"/>
              <w:divBdr>
                <w:top w:val="none" w:sz="0" w:space="0" w:color="auto"/>
                <w:left w:val="none" w:sz="0" w:space="0" w:color="auto"/>
                <w:bottom w:val="none" w:sz="0" w:space="0" w:color="auto"/>
                <w:right w:val="none" w:sz="0" w:space="0" w:color="auto"/>
              </w:divBdr>
            </w:div>
            <w:div w:id="933978921">
              <w:marLeft w:val="0"/>
              <w:marRight w:val="0"/>
              <w:marTop w:val="0"/>
              <w:marBottom w:val="0"/>
              <w:divBdr>
                <w:top w:val="none" w:sz="0" w:space="0" w:color="auto"/>
                <w:left w:val="none" w:sz="0" w:space="0" w:color="auto"/>
                <w:bottom w:val="none" w:sz="0" w:space="0" w:color="auto"/>
                <w:right w:val="none" w:sz="0" w:space="0" w:color="auto"/>
              </w:divBdr>
            </w:div>
            <w:div w:id="991523021">
              <w:marLeft w:val="0"/>
              <w:marRight w:val="0"/>
              <w:marTop w:val="0"/>
              <w:marBottom w:val="0"/>
              <w:divBdr>
                <w:top w:val="none" w:sz="0" w:space="0" w:color="auto"/>
                <w:left w:val="none" w:sz="0" w:space="0" w:color="auto"/>
                <w:bottom w:val="none" w:sz="0" w:space="0" w:color="auto"/>
                <w:right w:val="none" w:sz="0" w:space="0" w:color="auto"/>
              </w:divBdr>
            </w:div>
            <w:div w:id="993531900">
              <w:marLeft w:val="0"/>
              <w:marRight w:val="0"/>
              <w:marTop w:val="0"/>
              <w:marBottom w:val="0"/>
              <w:divBdr>
                <w:top w:val="none" w:sz="0" w:space="0" w:color="auto"/>
                <w:left w:val="none" w:sz="0" w:space="0" w:color="auto"/>
                <w:bottom w:val="none" w:sz="0" w:space="0" w:color="auto"/>
                <w:right w:val="none" w:sz="0" w:space="0" w:color="auto"/>
              </w:divBdr>
            </w:div>
            <w:div w:id="1080912097">
              <w:marLeft w:val="0"/>
              <w:marRight w:val="0"/>
              <w:marTop w:val="0"/>
              <w:marBottom w:val="0"/>
              <w:divBdr>
                <w:top w:val="none" w:sz="0" w:space="0" w:color="auto"/>
                <w:left w:val="none" w:sz="0" w:space="0" w:color="auto"/>
                <w:bottom w:val="none" w:sz="0" w:space="0" w:color="auto"/>
                <w:right w:val="none" w:sz="0" w:space="0" w:color="auto"/>
              </w:divBdr>
            </w:div>
            <w:div w:id="1100371365">
              <w:marLeft w:val="0"/>
              <w:marRight w:val="0"/>
              <w:marTop w:val="0"/>
              <w:marBottom w:val="0"/>
              <w:divBdr>
                <w:top w:val="none" w:sz="0" w:space="0" w:color="auto"/>
                <w:left w:val="none" w:sz="0" w:space="0" w:color="auto"/>
                <w:bottom w:val="none" w:sz="0" w:space="0" w:color="auto"/>
                <w:right w:val="none" w:sz="0" w:space="0" w:color="auto"/>
              </w:divBdr>
            </w:div>
            <w:div w:id="1114180015">
              <w:marLeft w:val="0"/>
              <w:marRight w:val="0"/>
              <w:marTop w:val="0"/>
              <w:marBottom w:val="0"/>
              <w:divBdr>
                <w:top w:val="none" w:sz="0" w:space="0" w:color="auto"/>
                <w:left w:val="none" w:sz="0" w:space="0" w:color="auto"/>
                <w:bottom w:val="none" w:sz="0" w:space="0" w:color="auto"/>
                <w:right w:val="none" w:sz="0" w:space="0" w:color="auto"/>
              </w:divBdr>
            </w:div>
            <w:div w:id="1204370144">
              <w:marLeft w:val="0"/>
              <w:marRight w:val="0"/>
              <w:marTop w:val="0"/>
              <w:marBottom w:val="0"/>
              <w:divBdr>
                <w:top w:val="none" w:sz="0" w:space="0" w:color="auto"/>
                <w:left w:val="none" w:sz="0" w:space="0" w:color="auto"/>
                <w:bottom w:val="none" w:sz="0" w:space="0" w:color="auto"/>
                <w:right w:val="none" w:sz="0" w:space="0" w:color="auto"/>
              </w:divBdr>
            </w:div>
            <w:div w:id="1410663308">
              <w:marLeft w:val="0"/>
              <w:marRight w:val="0"/>
              <w:marTop w:val="0"/>
              <w:marBottom w:val="0"/>
              <w:divBdr>
                <w:top w:val="none" w:sz="0" w:space="0" w:color="auto"/>
                <w:left w:val="none" w:sz="0" w:space="0" w:color="auto"/>
                <w:bottom w:val="none" w:sz="0" w:space="0" w:color="auto"/>
                <w:right w:val="none" w:sz="0" w:space="0" w:color="auto"/>
              </w:divBdr>
            </w:div>
            <w:div w:id="1486699963">
              <w:marLeft w:val="0"/>
              <w:marRight w:val="0"/>
              <w:marTop w:val="0"/>
              <w:marBottom w:val="0"/>
              <w:divBdr>
                <w:top w:val="none" w:sz="0" w:space="0" w:color="auto"/>
                <w:left w:val="none" w:sz="0" w:space="0" w:color="auto"/>
                <w:bottom w:val="none" w:sz="0" w:space="0" w:color="auto"/>
                <w:right w:val="none" w:sz="0" w:space="0" w:color="auto"/>
              </w:divBdr>
            </w:div>
            <w:div w:id="1523586301">
              <w:marLeft w:val="0"/>
              <w:marRight w:val="0"/>
              <w:marTop w:val="0"/>
              <w:marBottom w:val="0"/>
              <w:divBdr>
                <w:top w:val="none" w:sz="0" w:space="0" w:color="auto"/>
                <w:left w:val="none" w:sz="0" w:space="0" w:color="auto"/>
                <w:bottom w:val="none" w:sz="0" w:space="0" w:color="auto"/>
                <w:right w:val="none" w:sz="0" w:space="0" w:color="auto"/>
              </w:divBdr>
            </w:div>
            <w:div w:id="1634284754">
              <w:marLeft w:val="0"/>
              <w:marRight w:val="0"/>
              <w:marTop w:val="0"/>
              <w:marBottom w:val="0"/>
              <w:divBdr>
                <w:top w:val="none" w:sz="0" w:space="0" w:color="auto"/>
                <w:left w:val="none" w:sz="0" w:space="0" w:color="auto"/>
                <w:bottom w:val="none" w:sz="0" w:space="0" w:color="auto"/>
                <w:right w:val="none" w:sz="0" w:space="0" w:color="auto"/>
              </w:divBdr>
            </w:div>
            <w:div w:id="1816096651">
              <w:marLeft w:val="0"/>
              <w:marRight w:val="0"/>
              <w:marTop w:val="0"/>
              <w:marBottom w:val="0"/>
              <w:divBdr>
                <w:top w:val="none" w:sz="0" w:space="0" w:color="auto"/>
                <w:left w:val="none" w:sz="0" w:space="0" w:color="auto"/>
                <w:bottom w:val="none" w:sz="0" w:space="0" w:color="auto"/>
                <w:right w:val="none" w:sz="0" w:space="0" w:color="auto"/>
              </w:divBdr>
            </w:div>
            <w:div w:id="1860462155">
              <w:marLeft w:val="0"/>
              <w:marRight w:val="0"/>
              <w:marTop w:val="0"/>
              <w:marBottom w:val="0"/>
              <w:divBdr>
                <w:top w:val="none" w:sz="0" w:space="0" w:color="auto"/>
                <w:left w:val="none" w:sz="0" w:space="0" w:color="auto"/>
                <w:bottom w:val="none" w:sz="0" w:space="0" w:color="auto"/>
                <w:right w:val="none" w:sz="0" w:space="0" w:color="auto"/>
              </w:divBdr>
            </w:div>
          </w:divsChild>
        </w:div>
        <w:div w:id="1436369049">
          <w:marLeft w:val="0"/>
          <w:marRight w:val="0"/>
          <w:marTop w:val="0"/>
          <w:marBottom w:val="0"/>
          <w:divBdr>
            <w:top w:val="none" w:sz="0" w:space="0" w:color="auto"/>
            <w:left w:val="none" w:sz="0" w:space="0" w:color="auto"/>
            <w:bottom w:val="none" w:sz="0" w:space="0" w:color="auto"/>
            <w:right w:val="none" w:sz="0" w:space="0" w:color="auto"/>
          </w:divBdr>
          <w:divsChild>
            <w:div w:id="275217209">
              <w:marLeft w:val="-75"/>
              <w:marRight w:val="0"/>
              <w:marTop w:val="30"/>
              <w:marBottom w:val="30"/>
              <w:divBdr>
                <w:top w:val="none" w:sz="0" w:space="0" w:color="auto"/>
                <w:left w:val="none" w:sz="0" w:space="0" w:color="auto"/>
                <w:bottom w:val="none" w:sz="0" w:space="0" w:color="auto"/>
                <w:right w:val="none" w:sz="0" w:space="0" w:color="auto"/>
              </w:divBdr>
              <w:divsChild>
                <w:div w:id="17584222">
                  <w:marLeft w:val="0"/>
                  <w:marRight w:val="0"/>
                  <w:marTop w:val="0"/>
                  <w:marBottom w:val="0"/>
                  <w:divBdr>
                    <w:top w:val="none" w:sz="0" w:space="0" w:color="auto"/>
                    <w:left w:val="none" w:sz="0" w:space="0" w:color="auto"/>
                    <w:bottom w:val="none" w:sz="0" w:space="0" w:color="auto"/>
                    <w:right w:val="none" w:sz="0" w:space="0" w:color="auto"/>
                  </w:divBdr>
                  <w:divsChild>
                    <w:div w:id="2135630847">
                      <w:marLeft w:val="0"/>
                      <w:marRight w:val="0"/>
                      <w:marTop w:val="0"/>
                      <w:marBottom w:val="0"/>
                      <w:divBdr>
                        <w:top w:val="none" w:sz="0" w:space="0" w:color="auto"/>
                        <w:left w:val="none" w:sz="0" w:space="0" w:color="auto"/>
                        <w:bottom w:val="none" w:sz="0" w:space="0" w:color="auto"/>
                        <w:right w:val="none" w:sz="0" w:space="0" w:color="auto"/>
                      </w:divBdr>
                    </w:div>
                  </w:divsChild>
                </w:div>
                <w:div w:id="72515074">
                  <w:marLeft w:val="0"/>
                  <w:marRight w:val="0"/>
                  <w:marTop w:val="0"/>
                  <w:marBottom w:val="0"/>
                  <w:divBdr>
                    <w:top w:val="none" w:sz="0" w:space="0" w:color="auto"/>
                    <w:left w:val="none" w:sz="0" w:space="0" w:color="auto"/>
                    <w:bottom w:val="none" w:sz="0" w:space="0" w:color="auto"/>
                    <w:right w:val="none" w:sz="0" w:space="0" w:color="auto"/>
                  </w:divBdr>
                  <w:divsChild>
                    <w:div w:id="1079599604">
                      <w:marLeft w:val="0"/>
                      <w:marRight w:val="0"/>
                      <w:marTop w:val="0"/>
                      <w:marBottom w:val="0"/>
                      <w:divBdr>
                        <w:top w:val="none" w:sz="0" w:space="0" w:color="auto"/>
                        <w:left w:val="none" w:sz="0" w:space="0" w:color="auto"/>
                        <w:bottom w:val="none" w:sz="0" w:space="0" w:color="auto"/>
                        <w:right w:val="none" w:sz="0" w:space="0" w:color="auto"/>
                      </w:divBdr>
                    </w:div>
                  </w:divsChild>
                </w:div>
                <w:div w:id="143475483">
                  <w:marLeft w:val="0"/>
                  <w:marRight w:val="0"/>
                  <w:marTop w:val="0"/>
                  <w:marBottom w:val="0"/>
                  <w:divBdr>
                    <w:top w:val="none" w:sz="0" w:space="0" w:color="auto"/>
                    <w:left w:val="none" w:sz="0" w:space="0" w:color="auto"/>
                    <w:bottom w:val="none" w:sz="0" w:space="0" w:color="auto"/>
                    <w:right w:val="none" w:sz="0" w:space="0" w:color="auto"/>
                  </w:divBdr>
                  <w:divsChild>
                    <w:div w:id="1365474470">
                      <w:marLeft w:val="0"/>
                      <w:marRight w:val="0"/>
                      <w:marTop w:val="0"/>
                      <w:marBottom w:val="0"/>
                      <w:divBdr>
                        <w:top w:val="none" w:sz="0" w:space="0" w:color="auto"/>
                        <w:left w:val="none" w:sz="0" w:space="0" w:color="auto"/>
                        <w:bottom w:val="none" w:sz="0" w:space="0" w:color="auto"/>
                        <w:right w:val="none" w:sz="0" w:space="0" w:color="auto"/>
                      </w:divBdr>
                    </w:div>
                  </w:divsChild>
                </w:div>
                <w:div w:id="248854720">
                  <w:marLeft w:val="0"/>
                  <w:marRight w:val="0"/>
                  <w:marTop w:val="0"/>
                  <w:marBottom w:val="0"/>
                  <w:divBdr>
                    <w:top w:val="none" w:sz="0" w:space="0" w:color="auto"/>
                    <w:left w:val="none" w:sz="0" w:space="0" w:color="auto"/>
                    <w:bottom w:val="none" w:sz="0" w:space="0" w:color="auto"/>
                    <w:right w:val="none" w:sz="0" w:space="0" w:color="auto"/>
                  </w:divBdr>
                  <w:divsChild>
                    <w:div w:id="780538952">
                      <w:marLeft w:val="0"/>
                      <w:marRight w:val="0"/>
                      <w:marTop w:val="0"/>
                      <w:marBottom w:val="0"/>
                      <w:divBdr>
                        <w:top w:val="none" w:sz="0" w:space="0" w:color="auto"/>
                        <w:left w:val="none" w:sz="0" w:space="0" w:color="auto"/>
                        <w:bottom w:val="none" w:sz="0" w:space="0" w:color="auto"/>
                        <w:right w:val="none" w:sz="0" w:space="0" w:color="auto"/>
                      </w:divBdr>
                    </w:div>
                  </w:divsChild>
                </w:div>
                <w:div w:id="723480832">
                  <w:marLeft w:val="0"/>
                  <w:marRight w:val="0"/>
                  <w:marTop w:val="0"/>
                  <w:marBottom w:val="0"/>
                  <w:divBdr>
                    <w:top w:val="none" w:sz="0" w:space="0" w:color="auto"/>
                    <w:left w:val="none" w:sz="0" w:space="0" w:color="auto"/>
                    <w:bottom w:val="none" w:sz="0" w:space="0" w:color="auto"/>
                    <w:right w:val="none" w:sz="0" w:space="0" w:color="auto"/>
                  </w:divBdr>
                  <w:divsChild>
                    <w:div w:id="958797126">
                      <w:marLeft w:val="0"/>
                      <w:marRight w:val="0"/>
                      <w:marTop w:val="0"/>
                      <w:marBottom w:val="0"/>
                      <w:divBdr>
                        <w:top w:val="none" w:sz="0" w:space="0" w:color="auto"/>
                        <w:left w:val="none" w:sz="0" w:space="0" w:color="auto"/>
                        <w:bottom w:val="none" w:sz="0" w:space="0" w:color="auto"/>
                        <w:right w:val="none" w:sz="0" w:space="0" w:color="auto"/>
                      </w:divBdr>
                    </w:div>
                  </w:divsChild>
                </w:div>
                <w:div w:id="804352239">
                  <w:marLeft w:val="0"/>
                  <w:marRight w:val="0"/>
                  <w:marTop w:val="0"/>
                  <w:marBottom w:val="0"/>
                  <w:divBdr>
                    <w:top w:val="none" w:sz="0" w:space="0" w:color="auto"/>
                    <w:left w:val="none" w:sz="0" w:space="0" w:color="auto"/>
                    <w:bottom w:val="none" w:sz="0" w:space="0" w:color="auto"/>
                    <w:right w:val="none" w:sz="0" w:space="0" w:color="auto"/>
                  </w:divBdr>
                  <w:divsChild>
                    <w:div w:id="106854186">
                      <w:marLeft w:val="0"/>
                      <w:marRight w:val="0"/>
                      <w:marTop w:val="0"/>
                      <w:marBottom w:val="0"/>
                      <w:divBdr>
                        <w:top w:val="none" w:sz="0" w:space="0" w:color="auto"/>
                        <w:left w:val="none" w:sz="0" w:space="0" w:color="auto"/>
                        <w:bottom w:val="none" w:sz="0" w:space="0" w:color="auto"/>
                        <w:right w:val="none" w:sz="0" w:space="0" w:color="auto"/>
                      </w:divBdr>
                    </w:div>
                    <w:div w:id="564528910">
                      <w:marLeft w:val="0"/>
                      <w:marRight w:val="0"/>
                      <w:marTop w:val="0"/>
                      <w:marBottom w:val="0"/>
                      <w:divBdr>
                        <w:top w:val="none" w:sz="0" w:space="0" w:color="auto"/>
                        <w:left w:val="none" w:sz="0" w:space="0" w:color="auto"/>
                        <w:bottom w:val="none" w:sz="0" w:space="0" w:color="auto"/>
                        <w:right w:val="none" w:sz="0" w:space="0" w:color="auto"/>
                      </w:divBdr>
                    </w:div>
                  </w:divsChild>
                </w:div>
                <w:div w:id="814293491">
                  <w:marLeft w:val="0"/>
                  <w:marRight w:val="0"/>
                  <w:marTop w:val="0"/>
                  <w:marBottom w:val="0"/>
                  <w:divBdr>
                    <w:top w:val="none" w:sz="0" w:space="0" w:color="auto"/>
                    <w:left w:val="none" w:sz="0" w:space="0" w:color="auto"/>
                    <w:bottom w:val="none" w:sz="0" w:space="0" w:color="auto"/>
                    <w:right w:val="none" w:sz="0" w:space="0" w:color="auto"/>
                  </w:divBdr>
                  <w:divsChild>
                    <w:div w:id="2056075406">
                      <w:marLeft w:val="0"/>
                      <w:marRight w:val="0"/>
                      <w:marTop w:val="0"/>
                      <w:marBottom w:val="0"/>
                      <w:divBdr>
                        <w:top w:val="none" w:sz="0" w:space="0" w:color="auto"/>
                        <w:left w:val="none" w:sz="0" w:space="0" w:color="auto"/>
                        <w:bottom w:val="none" w:sz="0" w:space="0" w:color="auto"/>
                        <w:right w:val="none" w:sz="0" w:space="0" w:color="auto"/>
                      </w:divBdr>
                    </w:div>
                  </w:divsChild>
                </w:div>
                <w:div w:id="853809662">
                  <w:marLeft w:val="0"/>
                  <w:marRight w:val="0"/>
                  <w:marTop w:val="0"/>
                  <w:marBottom w:val="0"/>
                  <w:divBdr>
                    <w:top w:val="none" w:sz="0" w:space="0" w:color="auto"/>
                    <w:left w:val="none" w:sz="0" w:space="0" w:color="auto"/>
                    <w:bottom w:val="none" w:sz="0" w:space="0" w:color="auto"/>
                    <w:right w:val="none" w:sz="0" w:space="0" w:color="auto"/>
                  </w:divBdr>
                  <w:divsChild>
                    <w:div w:id="1080370250">
                      <w:marLeft w:val="0"/>
                      <w:marRight w:val="0"/>
                      <w:marTop w:val="0"/>
                      <w:marBottom w:val="0"/>
                      <w:divBdr>
                        <w:top w:val="none" w:sz="0" w:space="0" w:color="auto"/>
                        <w:left w:val="none" w:sz="0" w:space="0" w:color="auto"/>
                        <w:bottom w:val="none" w:sz="0" w:space="0" w:color="auto"/>
                        <w:right w:val="none" w:sz="0" w:space="0" w:color="auto"/>
                      </w:divBdr>
                    </w:div>
                  </w:divsChild>
                </w:div>
                <w:div w:id="895552954">
                  <w:marLeft w:val="0"/>
                  <w:marRight w:val="0"/>
                  <w:marTop w:val="0"/>
                  <w:marBottom w:val="0"/>
                  <w:divBdr>
                    <w:top w:val="none" w:sz="0" w:space="0" w:color="auto"/>
                    <w:left w:val="none" w:sz="0" w:space="0" w:color="auto"/>
                    <w:bottom w:val="none" w:sz="0" w:space="0" w:color="auto"/>
                    <w:right w:val="none" w:sz="0" w:space="0" w:color="auto"/>
                  </w:divBdr>
                  <w:divsChild>
                    <w:div w:id="832065056">
                      <w:marLeft w:val="0"/>
                      <w:marRight w:val="0"/>
                      <w:marTop w:val="0"/>
                      <w:marBottom w:val="0"/>
                      <w:divBdr>
                        <w:top w:val="none" w:sz="0" w:space="0" w:color="auto"/>
                        <w:left w:val="none" w:sz="0" w:space="0" w:color="auto"/>
                        <w:bottom w:val="none" w:sz="0" w:space="0" w:color="auto"/>
                        <w:right w:val="none" w:sz="0" w:space="0" w:color="auto"/>
                      </w:divBdr>
                    </w:div>
                    <w:div w:id="1748763344">
                      <w:marLeft w:val="0"/>
                      <w:marRight w:val="0"/>
                      <w:marTop w:val="0"/>
                      <w:marBottom w:val="0"/>
                      <w:divBdr>
                        <w:top w:val="none" w:sz="0" w:space="0" w:color="auto"/>
                        <w:left w:val="none" w:sz="0" w:space="0" w:color="auto"/>
                        <w:bottom w:val="none" w:sz="0" w:space="0" w:color="auto"/>
                        <w:right w:val="none" w:sz="0" w:space="0" w:color="auto"/>
                      </w:divBdr>
                    </w:div>
                  </w:divsChild>
                </w:div>
                <w:div w:id="1004237955">
                  <w:marLeft w:val="0"/>
                  <w:marRight w:val="0"/>
                  <w:marTop w:val="0"/>
                  <w:marBottom w:val="0"/>
                  <w:divBdr>
                    <w:top w:val="none" w:sz="0" w:space="0" w:color="auto"/>
                    <w:left w:val="none" w:sz="0" w:space="0" w:color="auto"/>
                    <w:bottom w:val="none" w:sz="0" w:space="0" w:color="auto"/>
                    <w:right w:val="none" w:sz="0" w:space="0" w:color="auto"/>
                  </w:divBdr>
                  <w:divsChild>
                    <w:div w:id="2094931808">
                      <w:marLeft w:val="0"/>
                      <w:marRight w:val="0"/>
                      <w:marTop w:val="0"/>
                      <w:marBottom w:val="0"/>
                      <w:divBdr>
                        <w:top w:val="none" w:sz="0" w:space="0" w:color="auto"/>
                        <w:left w:val="none" w:sz="0" w:space="0" w:color="auto"/>
                        <w:bottom w:val="none" w:sz="0" w:space="0" w:color="auto"/>
                        <w:right w:val="none" w:sz="0" w:space="0" w:color="auto"/>
                      </w:divBdr>
                    </w:div>
                  </w:divsChild>
                </w:div>
                <w:div w:id="1069964364">
                  <w:marLeft w:val="0"/>
                  <w:marRight w:val="0"/>
                  <w:marTop w:val="0"/>
                  <w:marBottom w:val="0"/>
                  <w:divBdr>
                    <w:top w:val="none" w:sz="0" w:space="0" w:color="auto"/>
                    <w:left w:val="none" w:sz="0" w:space="0" w:color="auto"/>
                    <w:bottom w:val="none" w:sz="0" w:space="0" w:color="auto"/>
                    <w:right w:val="none" w:sz="0" w:space="0" w:color="auto"/>
                  </w:divBdr>
                  <w:divsChild>
                    <w:div w:id="1659649008">
                      <w:marLeft w:val="0"/>
                      <w:marRight w:val="0"/>
                      <w:marTop w:val="0"/>
                      <w:marBottom w:val="0"/>
                      <w:divBdr>
                        <w:top w:val="none" w:sz="0" w:space="0" w:color="auto"/>
                        <w:left w:val="none" w:sz="0" w:space="0" w:color="auto"/>
                        <w:bottom w:val="none" w:sz="0" w:space="0" w:color="auto"/>
                        <w:right w:val="none" w:sz="0" w:space="0" w:color="auto"/>
                      </w:divBdr>
                    </w:div>
                    <w:div w:id="1760369914">
                      <w:marLeft w:val="0"/>
                      <w:marRight w:val="0"/>
                      <w:marTop w:val="0"/>
                      <w:marBottom w:val="0"/>
                      <w:divBdr>
                        <w:top w:val="none" w:sz="0" w:space="0" w:color="auto"/>
                        <w:left w:val="none" w:sz="0" w:space="0" w:color="auto"/>
                        <w:bottom w:val="none" w:sz="0" w:space="0" w:color="auto"/>
                        <w:right w:val="none" w:sz="0" w:space="0" w:color="auto"/>
                      </w:divBdr>
                    </w:div>
                  </w:divsChild>
                </w:div>
                <w:div w:id="1097020997">
                  <w:marLeft w:val="0"/>
                  <w:marRight w:val="0"/>
                  <w:marTop w:val="0"/>
                  <w:marBottom w:val="0"/>
                  <w:divBdr>
                    <w:top w:val="none" w:sz="0" w:space="0" w:color="auto"/>
                    <w:left w:val="none" w:sz="0" w:space="0" w:color="auto"/>
                    <w:bottom w:val="none" w:sz="0" w:space="0" w:color="auto"/>
                    <w:right w:val="none" w:sz="0" w:space="0" w:color="auto"/>
                  </w:divBdr>
                  <w:divsChild>
                    <w:div w:id="1300069231">
                      <w:marLeft w:val="0"/>
                      <w:marRight w:val="0"/>
                      <w:marTop w:val="0"/>
                      <w:marBottom w:val="0"/>
                      <w:divBdr>
                        <w:top w:val="none" w:sz="0" w:space="0" w:color="auto"/>
                        <w:left w:val="none" w:sz="0" w:space="0" w:color="auto"/>
                        <w:bottom w:val="none" w:sz="0" w:space="0" w:color="auto"/>
                        <w:right w:val="none" w:sz="0" w:space="0" w:color="auto"/>
                      </w:divBdr>
                    </w:div>
                    <w:div w:id="1525901094">
                      <w:marLeft w:val="0"/>
                      <w:marRight w:val="0"/>
                      <w:marTop w:val="0"/>
                      <w:marBottom w:val="0"/>
                      <w:divBdr>
                        <w:top w:val="none" w:sz="0" w:space="0" w:color="auto"/>
                        <w:left w:val="none" w:sz="0" w:space="0" w:color="auto"/>
                        <w:bottom w:val="none" w:sz="0" w:space="0" w:color="auto"/>
                        <w:right w:val="none" w:sz="0" w:space="0" w:color="auto"/>
                      </w:divBdr>
                    </w:div>
                  </w:divsChild>
                </w:div>
                <w:div w:id="1382823482">
                  <w:marLeft w:val="0"/>
                  <w:marRight w:val="0"/>
                  <w:marTop w:val="0"/>
                  <w:marBottom w:val="0"/>
                  <w:divBdr>
                    <w:top w:val="none" w:sz="0" w:space="0" w:color="auto"/>
                    <w:left w:val="none" w:sz="0" w:space="0" w:color="auto"/>
                    <w:bottom w:val="none" w:sz="0" w:space="0" w:color="auto"/>
                    <w:right w:val="none" w:sz="0" w:space="0" w:color="auto"/>
                  </w:divBdr>
                  <w:divsChild>
                    <w:div w:id="455028318">
                      <w:marLeft w:val="0"/>
                      <w:marRight w:val="0"/>
                      <w:marTop w:val="0"/>
                      <w:marBottom w:val="0"/>
                      <w:divBdr>
                        <w:top w:val="none" w:sz="0" w:space="0" w:color="auto"/>
                        <w:left w:val="none" w:sz="0" w:space="0" w:color="auto"/>
                        <w:bottom w:val="none" w:sz="0" w:space="0" w:color="auto"/>
                        <w:right w:val="none" w:sz="0" w:space="0" w:color="auto"/>
                      </w:divBdr>
                    </w:div>
                  </w:divsChild>
                </w:div>
                <w:div w:id="1408303808">
                  <w:marLeft w:val="0"/>
                  <w:marRight w:val="0"/>
                  <w:marTop w:val="0"/>
                  <w:marBottom w:val="0"/>
                  <w:divBdr>
                    <w:top w:val="none" w:sz="0" w:space="0" w:color="auto"/>
                    <w:left w:val="none" w:sz="0" w:space="0" w:color="auto"/>
                    <w:bottom w:val="none" w:sz="0" w:space="0" w:color="auto"/>
                    <w:right w:val="none" w:sz="0" w:space="0" w:color="auto"/>
                  </w:divBdr>
                  <w:divsChild>
                    <w:div w:id="911279286">
                      <w:marLeft w:val="0"/>
                      <w:marRight w:val="0"/>
                      <w:marTop w:val="0"/>
                      <w:marBottom w:val="0"/>
                      <w:divBdr>
                        <w:top w:val="none" w:sz="0" w:space="0" w:color="auto"/>
                        <w:left w:val="none" w:sz="0" w:space="0" w:color="auto"/>
                        <w:bottom w:val="none" w:sz="0" w:space="0" w:color="auto"/>
                        <w:right w:val="none" w:sz="0" w:space="0" w:color="auto"/>
                      </w:divBdr>
                    </w:div>
                  </w:divsChild>
                </w:div>
                <w:div w:id="1483160604">
                  <w:marLeft w:val="0"/>
                  <w:marRight w:val="0"/>
                  <w:marTop w:val="0"/>
                  <w:marBottom w:val="0"/>
                  <w:divBdr>
                    <w:top w:val="none" w:sz="0" w:space="0" w:color="auto"/>
                    <w:left w:val="none" w:sz="0" w:space="0" w:color="auto"/>
                    <w:bottom w:val="none" w:sz="0" w:space="0" w:color="auto"/>
                    <w:right w:val="none" w:sz="0" w:space="0" w:color="auto"/>
                  </w:divBdr>
                  <w:divsChild>
                    <w:div w:id="1243173539">
                      <w:marLeft w:val="0"/>
                      <w:marRight w:val="0"/>
                      <w:marTop w:val="0"/>
                      <w:marBottom w:val="0"/>
                      <w:divBdr>
                        <w:top w:val="none" w:sz="0" w:space="0" w:color="auto"/>
                        <w:left w:val="none" w:sz="0" w:space="0" w:color="auto"/>
                        <w:bottom w:val="none" w:sz="0" w:space="0" w:color="auto"/>
                        <w:right w:val="none" w:sz="0" w:space="0" w:color="auto"/>
                      </w:divBdr>
                    </w:div>
                  </w:divsChild>
                </w:div>
                <w:div w:id="1511947148">
                  <w:marLeft w:val="0"/>
                  <w:marRight w:val="0"/>
                  <w:marTop w:val="0"/>
                  <w:marBottom w:val="0"/>
                  <w:divBdr>
                    <w:top w:val="none" w:sz="0" w:space="0" w:color="auto"/>
                    <w:left w:val="none" w:sz="0" w:space="0" w:color="auto"/>
                    <w:bottom w:val="none" w:sz="0" w:space="0" w:color="auto"/>
                    <w:right w:val="none" w:sz="0" w:space="0" w:color="auto"/>
                  </w:divBdr>
                  <w:divsChild>
                    <w:div w:id="436293887">
                      <w:marLeft w:val="0"/>
                      <w:marRight w:val="0"/>
                      <w:marTop w:val="0"/>
                      <w:marBottom w:val="0"/>
                      <w:divBdr>
                        <w:top w:val="none" w:sz="0" w:space="0" w:color="auto"/>
                        <w:left w:val="none" w:sz="0" w:space="0" w:color="auto"/>
                        <w:bottom w:val="none" w:sz="0" w:space="0" w:color="auto"/>
                        <w:right w:val="none" w:sz="0" w:space="0" w:color="auto"/>
                      </w:divBdr>
                    </w:div>
                  </w:divsChild>
                </w:div>
                <w:div w:id="1645623159">
                  <w:marLeft w:val="0"/>
                  <w:marRight w:val="0"/>
                  <w:marTop w:val="0"/>
                  <w:marBottom w:val="0"/>
                  <w:divBdr>
                    <w:top w:val="none" w:sz="0" w:space="0" w:color="auto"/>
                    <w:left w:val="none" w:sz="0" w:space="0" w:color="auto"/>
                    <w:bottom w:val="none" w:sz="0" w:space="0" w:color="auto"/>
                    <w:right w:val="none" w:sz="0" w:space="0" w:color="auto"/>
                  </w:divBdr>
                  <w:divsChild>
                    <w:div w:id="1172180405">
                      <w:marLeft w:val="0"/>
                      <w:marRight w:val="0"/>
                      <w:marTop w:val="0"/>
                      <w:marBottom w:val="0"/>
                      <w:divBdr>
                        <w:top w:val="none" w:sz="0" w:space="0" w:color="auto"/>
                        <w:left w:val="none" w:sz="0" w:space="0" w:color="auto"/>
                        <w:bottom w:val="none" w:sz="0" w:space="0" w:color="auto"/>
                        <w:right w:val="none" w:sz="0" w:space="0" w:color="auto"/>
                      </w:divBdr>
                    </w:div>
                  </w:divsChild>
                </w:div>
                <w:div w:id="1763068981">
                  <w:marLeft w:val="0"/>
                  <w:marRight w:val="0"/>
                  <w:marTop w:val="0"/>
                  <w:marBottom w:val="0"/>
                  <w:divBdr>
                    <w:top w:val="none" w:sz="0" w:space="0" w:color="auto"/>
                    <w:left w:val="none" w:sz="0" w:space="0" w:color="auto"/>
                    <w:bottom w:val="none" w:sz="0" w:space="0" w:color="auto"/>
                    <w:right w:val="none" w:sz="0" w:space="0" w:color="auto"/>
                  </w:divBdr>
                  <w:divsChild>
                    <w:div w:id="693772508">
                      <w:marLeft w:val="0"/>
                      <w:marRight w:val="0"/>
                      <w:marTop w:val="0"/>
                      <w:marBottom w:val="0"/>
                      <w:divBdr>
                        <w:top w:val="none" w:sz="0" w:space="0" w:color="auto"/>
                        <w:left w:val="none" w:sz="0" w:space="0" w:color="auto"/>
                        <w:bottom w:val="none" w:sz="0" w:space="0" w:color="auto"/>
                        <w:right w:val="none" w:sz="0" w:space="0" w:color="auto"/>
                      </w:divBdr>
                    </w:div>
                    <w:div w:id="1227106470">
                      <w:marLeft w:val="0"/>
                      <w:marRight w:val="0"/>
                      <w:marTop w:val="0"/>
                      <w:marBottom w:val="0"/>
                      <w:divBdr>
                        <w:top w:val="none" w:sz="0" w:space="0" w:color="auto"/>
                        <w:left w:val="none" w:sz="0" w:space="0" w:color="auto"/>
                        <w:bottom w:val="none" w:sz="0" w:space="0" w:color="auto"/>
                        <w:right w:val="none" w:sz="0" w:space="0" w:color="auto"/>
                      </w:divBdr>
                    </w:div>
                    <w:div w:id="1323041077">
                      <w:marLeft w:val="0"/>
                      <w:marRight w:val="0"/>
                      <w:marTop w:val="0"/>
                      <w:marBottom w:val="0"/>
                      <w:divBdr>
                        <w:top w:val="none" w:sz="0" w:space="0" w:color="auto"/>
                        <w:left w:val="none" w:sz="0" w:space="0" w:color="auto"/>
                        <w:bottom w:val="none" w:sz="0" w:space="0" w:color="auto"/>
                        <w:right w:val="none" w:sz="0" w:space="0" w:color="auto"/>
                      </w:divBdr>
                    </w:div>
                    <w:div w:id="2044085922">
                      <w:marLeft w:val="0"/>
                      <w:marRight w:val="0"/>
                      <w:marTop w:val="0"/>
                      <w:marBottom w:val="0"/>
                      <w:divBdr>
                        <w:top w:val="none" w:sz="0" w:space="0" w:color="auto"/>
                        <w:left w:val="none" w:sz="0" w:space="0" w:color="auto"/>
                        <w:bottom w:val="none" w:sz="0" w:space="0" w:color="auto"/>
                        <w:right w:val="none" w:sz="0" w:space="0" w:color="auto"/>
                      </w:divBdr>
                    </w:div>
                  </w:divsChild>
                </w:div>
                <w:div w:id="1768849202">
                  <w:marLeft w:val="0"/>
                  <w:marRight w:val="0"/>
                  <w:marTop w:val="0"/>
                  <w:marBottom w:val="0"/>
                  <w:divBdr>
                    <w:top w:val="none" w:sz="0" w:space="0" w:color="auto"/>
                    <w:left w:val="none" w:sz="0" w:space="0" w:color="auto"/>
                    <w:bottom w:val="none" w:sz="0" w:space="0" w:color="auto"/>
                    <w:right w:val="none" w:sz="0" w:space="0" w:color="auto"/>
                  </w:divBdr>
                  <w:divsChild>
                    <w:div w:id="433479502">
                      <w:marLeft w:val="0"/>
                      <w:marRight w:val="0"/>
                      <w:marTop w:val="0"/>
                      <w:marBottom w:val="0"/>
                      <w:divBdr>
                        <w:top w:val="none" w:sz="0" w:space="0" w:color="auto"/>
                        <w:left w:val="none" w:sz="0" w:space="0" w:color="auto"/>
                        <w:bottom w:val="none" w:sz="0" w:space="0" w:color="auto"/>
                        <w:right w:val="none" w:sz="0" w:space="0" w:color="auto"/>
                      </w:divBdr>
                    </w:div>
                  </w:divsChild>
                </w:div>
                <w:div w:id="1785610240">
                  <w:marLeft w:val="0"/>
                  <w:marRight w:val="0"/>
                  <w:marTop w:val="0"/>
                  <w:marBottom w:val="0"/>
                  <w:divBdr>
                    <w:top w:val="none" w:sz="0" w:space="0" w:color="auto"/>
                    <w:left w:val="none" w:sz="0" w:space="0" w:color="auto"/>
                    <w:bottom w:val="none" w:sz="0" w:space="0" w:color="auto"/>
                    <w:right w:val="none" w:sz="0" w:space="0" w:color="auto"/>
                  </w:divBdr>
                  <w:divsChild>
                    <w:div w:id="439228143">
                      <w:marLeft w:val="0"/>
                      <w:marRight w:val="0"/>
                      <w:marTop w:val="0"/>
                      <w:marBottom w:val="0"/>
                      <w:divBdr>
                        <w:top w:val="none" w:sz="0" w:space="0" w:color="auto"/>
                        <w:left w:val="none" w:sz="0" w:space="0" w:color="auto"/>
                        <w:bottom w:val="none" w:sz="0" w:space="0" w:color="auto"/>
                        <w:right w:val="none" w:sz="0" w:space="0" w:color="auto"/>
                      </w:divBdr>
                    </w:div>
                  </w:divsChild>
                </w:div>
                <w:div w:id="1891459671">
                  <w:marLeft w:val="0"/>
                  <w:marRight w:val="0"/>
                  <w:marTop w:val="0"/>
                  <w:marBottom w:val="0"/>
                  <w:divBdr>
                    <w:top w:val="none" w:sz="0" w:space="0" w:color="auto"/>
                    <w:left w:val="none" w:sz="0" w:space="0" w:color="auto"/>
                    <w:bottom w:val="none" w:sz="0" w:space="0" w:color="auto"/>
                    <w:right w:val="none" w:sz="0" w:space="0" w:color="auto"/>
                  </w:divBdr>
                  <w:divsChild>
                    <w:div w:id="129791974">
                      <w:marLeft w:val="0"/>
                      <w:marRight w:val="0"/>
                      <w:marTop w:val="0"/>
                      <w:marBottom w:val="0"/>
                      <w:divBdr>
                        <w:top w:val="none" w:sz="0" w:space="0" w:color="auto"/>
                        <w:left w:val="none" w:sz="0" w:space="0" w:color="auto"/>
                        <w:bottom w:val="none" w:sz="0" w:space="0" w:color="auto"/>
                        <w:right w:val="none" w:sz="0" w:space="0" w:color="auto"/>
                      </w:divBdr>
                    </w:div>
                    <w:div w:id="989752056">
                      <w:marLeft w:val="0"/>
                      <w:marRight w:val="0"/>
                      <w:marTop w:val="0"/>
                      <w:marBottom w:val="0"/>
                      <w:divBdr>
                        <w:top w:val="none" w:sz="0" w:space="0" w:color="auto"/>
                        <w:left w:val="none" w:sz="0" w:space="0" w:color="auto"/>
                        <w:bottom w:val="none" w:sz="0" w:space="0" w:color="auto"/>
                        <w:right w:val="none" w:sz="0" w:space="0" w:color="auto"/>
                      </w:divBdr>
                    </w:div>
                    <w:div w:id="1272275076">
                      <w:marLeft w:val="0"/>
                      <w:marRight w:val="0"/>
                      <w:marTop w:val="0"/>
                      <w:marBottom w:val="0"/>
                      <w:divBdr>
                        <w:top w:val="none" w:sz="0" w:space="0" w:color="auto"/>
                        <w:left w:val="none" w:sz="0" w:space="0" w:color="auto"/>
                        <w:bottom w:val="none" w:sz="0" w:space="0" w:color="auto"/>
                        <w:right w:val="none" w:sz="0" w:space="0" w:color="auto"/>
                      </w:divBdr>
                    </w:div>
                    <w:div w:id="1801461686">
                      <w:marLeft w:val="0"/>
                      <w:marRight w:val="0"/>
                      <w:marTop w:val="0"/>
                      <w:marBottom w:val="0"/>
                      <w:divBdr>
                        <w:top w:val="none" w:sz="0" w:space="0" w:color="auto"/>
                        <w:left w:val="none" w:sz="0" w:space="0" w:color="auto"/>
                        <w:bottom w:val="none" w:sz="0" w:space="0" w:color="auto"/>
                        <w:right w:val="none" w:sz="0" w:space="0" w:color="auto"/>
                      </w:divBdr>
                    </w:div>
                  </w:divsChild>
                </w:div>
                <w:div w:id="1939676784">
                  <w:marLeft w:val="0"/>
                  <w:marRight w:val="0"/>
                  <w:marTop w:val="0"/>
                  <w:marBottom w:val="0"/>
                  <w:divBdr>
                    <w:top w:val="none" w:sz="0" w:space="0" w:color="auto"/>
                    <w:left w:val="none" w:sz="0" w:space="0" w:color="auto"/>
                    <w:bottom w:val="none" w:sz="0" w:space="0" w:color="auto"/>
                    <w:right w:val="none" w:sz="0" w:space="0" w:color="auto"/>
                  </w:divBdr>
                  <w:divsChild>
                    <w:div w:id="20448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114019">
      <w:bodyDiv w:val="1"/>
      <w:marLeft w:val="0"/>
      <w:marRight w:val="0"/>
      <w:marTop w:val="0"/>
      <w:marBottom w:val="0"/>
      <w:divBdr>
        <w:top w:val="none" w:sz="0" w:space="0" w:color="auto"/>
        <w:left w:val="none" w:sz="0" w:space="0" w:color="auto"/>
        <w:bottom w:val="none" w:sz="0" w:space="0" w:color="auto"/>
        <w:right w:val="none" w:sz="0" w:space="0" w:color="auto"/>
      </w:divBdr>
    </w:div>
    <w:div w:id="357510948">
      <w:bodyDiv w:val="1"/>
      <w:marLeft w:val="0"/>
      <w:marRight w:val="0"/>
      <w:marTop w:val="0"/>
      <w:marBottom w:val="0"/>
      <w:divBdr>
        <w:top w:val="none" w:sz="0" w:space="0" w:color="auto"/>
        <w:left w:val="none" w:sz="0" w:space="0" w:color="auto"/>
        <w:bottom w:val="none" w:sz="0" w:space="0" w:color="auto"/>
        <w:right w:val="none" w:sz="0" w:space="0" w:color="auto"/>
      </w:divBdr>
      <w:divsChild>
        <w:div w:id="1220745362">
          <w:marLeft w:val="450"/>
          <w:marRight w:val="0"/>
          <w:marTop w:val="0"/>
          <w:marBottom w:val="0"/>
          <w:divBdr>
            <w:top w:val="none" w:sz="0" w:space="0" w:color="auto"/>
            <w:left w:val="none" w:sz="0" w:space="0" w:color="auto"/>
            <w:bottom w:val="none" w:sz="0" w:space="0" w:color="auto"/>
            <w:right w:val="none" w:sz="0" w:space="0" w:color="auto"/>
          </w:divBdr>
        </w:div>
      </w:divsChild>
    </w:div>
    <w:div w:id="379595562">
      <w:bodyDiv w:val="1"/>
      <w:marLeft w:val="0"/>
      <w:marRight w:val="0"/>
      <w:marTop w:val="0"/>
      <w:marBottom w:val="0"/>
      <w:divBdr>
        <w:top w:val="none" w:sz="0" w:space="0" w:color="auto"/>
        <w:left w:val="none" w:sz="0" w:space="0" w:color="auto"/>
        <w:bottom w:val="none" w:sz="0" w:space="0" w:color="auto"/>
        <w:right w:val="none" w:sz="0" w:space="0" w:color="auto"/>
      </w:divBdr>
      <w:divsChild>
        <w:div w:id="2052683108">
          <w:marLeft w:val="450"/>
          <w:marRight w:val="0"/>
          <w:marTop w:val="0"/>
          <w:marBottom w:val="0"/>
          <w:divBdr>
            <w:top w:val="none" w:sz="0" w:space="0" w:color="auto"/>
            <w:left w:val="none" w:sz="0" w:space="0" w:color="auto"/>
            <w:bottom w:val="none" w:sz="0" w:space="0" w:color="auto"/>
            <w:right w:val="none" w:sz="0" w:space="0" w:color="auto"/>
          </w:divBdr>
        </w:div>
      </w:divsChild>
    </w:div>
    <w:div w:id="409232015">
      <w:bodyDiv w:val="1"/>
      <w:marLeft w:val="0"/>
      <w:marRight w:val="0"/>
      <w:marTop w:val="0"/>
      <w:marBottom w:val="0"/>
      <w:divBdr>
        <w:top w:val="none" w:sz="0" w:space="0" w:color="auto"/>
        <w:left w:val="none" w:sz="0" w:space="0" w:color="auto"/>
        <w:bottom w:val="none" w:sz="0" w:space="0" w:color="auto"/>
        <w:right w:val="none" w:sz="0" w:space="0" w:color="auto"/>
      </w:divBdr>
    </w:div>
    <w:div w:id="457459485">
      <w:bodyDiv w:val="1"/>
      <w:marLeft w:val="0"/>
      <w:marRight w:val="0"/>
      <w:marTop w:val="0"/>
      <w:marBottom w:val="0"/>
      <w:divBdr>
        <w:top w:val="none" w:sz="0" w:space="0" w:color="auto"/>
        <w:left w:val="none" w:sz="0" w:space="0" w:color="auto"/>
        <w:bottom w:val="none" w:sz="0" w:space="0" w:color="auto"/>
        <w:right w:val="none" w:sz="0" w:space="0" w:color="auto"/>
      </w:divBdr>
    </w:div>
    <w:div w:id="489903540">
      <w:bodyDiv w:val="1"/>
      <w:marLeft w:val="0"/>
      <w:marRight w:val="0"/>
      <w:marTop w:val="0"/>
      <w:marBottom w:val="0"/>
      <w:divBdr>
        <w:top w:val="none" w:sz="0" w:space="0" w:color="auto"/>
        <w:left w:val="none" w:sz="0" w:space="0" w:color="auto"/>
        <w:bottom w:val="none" w:sz="0" w:space="0" w:color="auto"/>
        <w:right w:val="none" w:sz="0" w:space="0" w:color="auto"/>
      </w:divBdr>
    </w:div>
    <w:div w:id="509568642">
      <w:bodyDiv w:val="1"/>
      <w:marLeft w:val="0"/>
      <w:marRight w:val="0"/>
      <w:marTop w:val="0"/>
      <w:marBottom w:val="0"/>
      <w:divBdr>
        <w:top w:val="none" w:sz="0" w:space="0" w:color="auto"/>
        <w:left w:val="none" w:sz="0" w:space="0" w:color="auto"/>
        <w:bottom w:val="none" w:sz="0" w:space="0" w:color="auto"/>
        <w:right w:val="none" w:sz="0" w:space="0" w:color="auto"/>
      </w:divBdr>
    </w:div>
    <w:div w:id="528759432">
      <w:bodyDiv w:val="1"/>
      <w:marLeft w:val="0"/>
      <w:marRight w:val="0"/>
      <w:marTop w:val="0"/>
      <w:marBottom w:val="0"/>
      <w:divBdr>
        <w:top w:val="none" w:sz="0" w:space="0" w:color="auto"/>
        <w:left w:val="none" w:sz="0" w:space="0" w:color="auto"/>
        <w:bottom w:val="none" w:sz="0" w:space="0" w:color="auto"/>
        <w:right w:val="none" w:sz="0" w:space="0" w:color="auto"/>
      </w:divBdr>
      <w:divsChild>
        <w:div w:id="1960061989">
          <w:marLeft w:val="450"/>
          <w:marRight w:val="0"/>
          <w:marTop w:val="0"/>
          <w:marBottom w:val="0"/>
          <w:divBdr>
            <w:top w:val="none" w:sz="0" w:space="0" w:color="auto"/>
            <w:left w:val="none" w:sz="0" w:space="0" w:color="auto"/>
            <w:bottom w:val="none" w:sz="0" w:space="0" w:color="auto"/>
            <w:right w:val="none" w:sz="0" w:space="0" w:color="auto"/>
          </w:divBdr>
        </w:div>
      </w:divsChild>
    </w:div>
    <w:div w:id="542518119">
      <w:bodyDiv w:val="1"/>
      <w:marLeft w:val="0"/>
      <w:marRight w:val="0"/>
      <w:marTop w:val="0"/>
      <w:marBottom w:val="0"/>
      <w:divBdr>
        <w:top w:val="none" w:sz="0" w:space="0" w:color="auto"/>
        <w:left w:val="none" w:sz="0" w:space="0" w:color="auto"/>
        <w:bottom w:val="none" w:sz="0" w:space="0" w:color="auto"/>
        <w:right w:val="none" w:sz="0" w:space="0" w:color="auto"/>
      </w:divBdr>
    </w:div>
    <w:div w:id="583608580">
      <w:bodyDiv w:val="1"/>
      <w:marLeft w:val="0"/>
      <w:marRight w:val="0"/>
      <w:marTop w:val="0"/>
      <w:marBottom w:val="0"/>
      <w:divBdr>
        <w:top w:val="none" w:sz="0" w:space="0" w:color="auto"/>
        <w:left w:val="none" w:sz="0" w:space="0" w:color="auto"/>
        <w:bottom w:val="none" w:sz="0" w:space="0" w:color="auto"/>
        <w:right w:val="none" w:sz="0" w:space="0" w:color="auto"/>
      </w:divBdr>
    </w:div>
    <w:div w:id="592055177">
      <w:bodyDiv w:val="1"/>
      <w:marLeft w:val="0"/>
      <w:marRight w:val="0"/>
      <w:marTop w:val="0"/>
      <w:marBottom w:val="0"/>
      <w:divBdr>
        <w:top w:val="none" w:sz="0" w:space="0" w:color="auto"/>
        <w:left w:val="none" w:sz="0" w:space="0" w:color="auto"/>
        <w:bottom w:val="none" w:sz="0" w:space="0" w:color="auto"/>
        <w:right w:val="none" w:sz="0" w:space="0" w:color="auto"/>
      </w:divBdr>
    </w:div>
    <w:div w:id="623778651">
      <w:bodyDiv w:val="1"/>
      <w:marLeft w:val="0"/>
      <w:marRight w:val="0"/>
      <w:marTop w:val="0"/>
      <w:marBottom w:val="0"/>
      <w:divBdr>
        <w:top w:val="none" w:sz="0" w:space="0" w:color="auto"/>
        <w:left w:val="none" w:sz="0" w:space="0" w:color="auto"/>
        <w:bottom w:val="none" w:sz="0" w:space="0" w:color="auto"/>
        <w:right w:val="none" w:sz="0" w:space="0" w:color="auto"/>
      </w:divBdr>
    </w:div>
    <w:div w:id="734208756">
      <w:bodyDiv w:val="1"/>
      <w:marLeft w:val="0"/>
      <w:marRight w:val="0"/>
      <w:marTop w:val="0"/>
      <w:marBottom w:val="0"/>
      <w:divBdr>
        <w:top w:val="none" w:sz="0" w:space="0" w:color="auto"/>
        <w:left w:val="none" w:sz="0" w:space="0" w:color="auto"/>
        <w:bottom w:val="none" w:sz="0" w:space="0" w:color="auto"/>
        <w:right w:val="none" w:sz="0" w:space="0" w:color="auto"/>
      </w:divBdr>
    </w:div>
    <w:div w:id="823666960">
      <w:bodyDiv w:val="1"/>
      <w:marLeft w:val="0"/>
      <w:marRight w:val="0"/>
      <w:marTop w:val="0"/>
      <w:marBottom w:val="0"/>
      <w:divBdr>
        <w:top w:val="none" w:sz="0" w:space="0" w:color="auto"/>
        <w:left w:val="none" w:sz="0" w:space="0" w:color="auto"/>
        <w:bottom w:val="none" w:sz="0" w:space="0" w:color="auto"/>
        <w:right w:val="none" w:sz="0" w:space="0" w:color="auto"/>
      </w:divBdr>
    </w:div>
    <w:div w:id="826213107">
      <w:bodyDiv w:val="1"/>
      <w:marLeft w:val="0"/>
      <w:marRight w:val="0"/>
      <w:marTop w:val="0"/>
      <w:marBottom w:val="0"/>
      <w:divBdr>
        <w:top w:val="none" w:sz="0" w:space="0" w:color="auto"/>
        <w:left w:val="none" w:sz="0" w:space="0" w:color="auto"/>
        <w:bottom w:val="none" w:sz="0" w:space="0" w:color="auto"/>
        <w:right w:val="none" w:sz="0" w:space="0" w:color="auto"/>
      </w:divBdr>
    </w:div>
    <w:div w:id="855851941">
      <w:bodyDiv w:val="1"/>
      <w:marLeft w:val="0"/>
      <w:marRight w:val="0"/>
      <w:marTop w:val="0"/>
      <w:marBottom w:val="0"/>
      <w:divBdr>
        <w:top w:val="none" w:sz="0" w:space="0" w:color="auto"/>
        <w:left w:val="none" w:sz="0" w:space="0" w:color="auto"/>
        <w:bottom w:val="none" w:sz="0" w:space="0" w:color="auto"/>
        <w:right w:val="none" w:sz="0" w:space="0" w:color="auto"/>
      </w:divBdr>
    </w:div>
    <w:div w:id="869146454">
      <w:bodyDiv w:val="1"/>
      <w:marLeft w:val="0"/>
      <w:marRight w:val="0"/>
      <w:marTop w:val="0"/>
      <w:marBottom w:val="0"/>
      <w:divBdr>
        <w:top w:val="none" w:sz="0" w:space="0" w:color="auto"/>
        <w:left w:val="none" w:sz="0" w:space="0" w:color="auto"/>
        <w:bottom w:val="none" w:sz="0" w:space="0" w:color="auto"/>
        <w:right w:val="none" w:sz="0" w:space="0" w:color="auto"/>
      </w:divBdr>
    </w:div>
    <w:div w:id="880632493">
      <w:bodyDiv w:val="1"/>
      <w:marLeft w:val="0"/>
      <w:marRight w:val="0"/>
      <w:marTop w:val="0"/>
      <w:marBottom w:val="0"/>
      <w:divBdr>
        <w:top w:val="none" w:sz="0" w:space="0" w:color="auto"/>
        <w:left w:val="none" w:sz="0" w:space="0" w:color="auto"/>
        <w:bottom w:val="none" w:sz="0" w:space="0" w:color="auto"/>
        <w:right w:val="none" w:sz="0" w:space="0" w:color="auto"/>
      </w:divBdr>
    </w:div>
    <w:div w:id="900091634">
      <w:bodyDiv w:val="1"/>
      <w:marLeft w:val="0"/>
      <w:marRight w:val="0"/>
      <w:marTop w:val="0"/>
      <w:marBottom w:val="0"/>
      <w:divBdr>
        <w:top w:val="none" w:sz="0" w:space="0" w:color="auto"/>
        <w:left w:val="none" w:sz="0" w:space="0" w:color="auto"/>
        <w:bottom w:val="none" w:sz="0" w:space="0" w:color="auto"/>
        <w:right w:val="none" w:sz="0" w:space="0" w:color="auto"/>
      </w:divBdr>
    </w:div>
    <w:div w:id="932738274">
      <w:bodyDiv w:val="1"/>
      <w:marLeft w:val="0"/>
      <w:marRight w:val="0"/>
      <w:marTop w:val="0"/>
      <w:marBottom w:val="0"/>
      <w:divBdr>
        <w:top w:val="none" w:sz="0" w:space="0" w:color="auto"/>
        <w:left w:val="none" w:sz="0" w:space="0" w:color="auto"/>
        <w:bottom w:val="none" w:sz="0" w:space="0" w:color="auto"/>
        <w:right w:val="none" w:sz="0" w:space="0" w:color="auto"/>
      </w:divBdr>
    </w:div>
    <w:div w:id="935558096">
      <w:bodyDiv w:val="1"/>
      <w:marLeft w:val="0"/>
      <w:marRight w:val="0"/>
      <w:marTop w:val="0"/>
      <w:marBottom w:val="0"/>
      <w:divBdr>
        <w:top w:val="none" w:sz="0" w:space="0" w:color="auto"/>
        <w:left w:val="none" w:sz="0" w:space="0" w:color="auto"/>
        <w:bottom w:val="none" w:sz="0" w:space="0" w:color="auto"/>
        <w:right w:val="none" w:sz="0" w:space="0" w:color="auto"/>
      </w:divBdr>
    </w:div>
    <w:div w:id="975723207">
      <w:bodyDiv w:val="1"/>
      <w:marLeft w:val="0"/>
      <w:marRight w:val="0"/>
      <w:marTop w:val="0"/>
      <w:marBottom w:val="0"/>
      <w:divBdr>
        <w:top w:val="none" w:sz="0" w:space="0" w:color="auto"/>
        <w:left w:val="none" w:sz="0" w:space="0" w:color="auto"/>
        <w:bottom w:val="none" w:sz="0" w:space="0" w:color="auto"/>
        <w:right w:val="none" w:sz="0" w:space="0" w:color="auto"/>
      </w:divBdr>
    </w:div>
    <w:div w:id="977415420">
      <w:bodyDiv w:val="1"/>
      <w:marLeft w:val="0"/>
      <w:marRight w:val="0"/>
      <w:marTop w:val="0"/>
      <w:marBottom w:val="0"/>
      <w:divBdr>
        <w:top w:val="none" w:sz="0" w:space="0" w:color="auto"/>
        <w:left w:val="none" w:sz="0" w:space="0" w:color="auto"/>
        <w:bottom w:val="none" w:sz="0" w:space="0" w:color="auto"/>
        <w:right w:val="none" w:sz="0" w:space="0" w:color="auto"/>
      </w:divBdr>
    </w:div>
    <w:div w:id="1005747700">
      <w:bodyDiv w:val="1"/>
      <w:marLeft w:val="0"/>
      <w:marRight w:val="0"/>
      <w:marTop w:val="0"/>
      <w:marBottom w:val="0"/>
      <w:divBdr>
        <w:top w:val="none" w:sz="0" w:space="0" w:color="auto"/>
        <w:left w:val="none" w:sz="0" w:space="0" w:color="auto"/>
        <w:bottom w:val="none" w:sz="0" w:space="0" w:color="auto"/>
        <w:right w:val="none" w:sz="0" w:space="0" w:color="auto"/>
      </w:divBdr>
    </w:div>
    <w:div w:id="1015037812">
      <w:bodyDiv w:val="1"/>
      <w:marLeft w:val="0"/>
      <w:marRight w:val="0"/>
      <w:marTop w:val="0"/>
      <w:marBottom w:val="0"/>
      <w:divBdr>
        <w:top w:val="none" w:sz="0" w:space="0" w:color="auto"/>
        <w:left w:val="none" w:sz="0" w:space="0" w:color="auto"/>
        <w:bottom w:val="none" w:sz="0" w:space="0" w:color="auto"/>
        <w:right w:val="none" w:sz="0" w:space="0" w:color="auto"/>
      </w:divBdr>
    </w:div>
    <w:div w:id="1027609478">
      <w:bodyDiv w:val="1"/>
      <w:marLeft w:val="0"/>
      <w:marRight w:val="0"/>
      <w:marTop w:val="0"/>
      <w:marBottom w:val="0"/>
      <w:divBdr>
        <w:top w:val="none" w:sz="0" w:space="0" w:color="auto"/>
        <w:left w:val="none" w:sz="0" w:space="0" w:color="auto"/>
        <w:bottom w:val="none" w:sz="0" w:space="0" w:color="auto"/>
        <w:right w:val="none" w:sz="0" w:space="0" w:color="auto"/>
      </w:divBdr>
      <w:divsChild>
        <w:div w:id="1120412863">
          <w:marLeft w:val="450"/>
          <w:marRight w:val="0"/>
          <w:marTop w:val="0"/>
          <w:marBottom w:val="0"/>
          <w:divBdr>
            <w:top w:val="none" w:sz="0" w:space="0" w:color="auto"/>
            <w:left w:val="none" w:sz="0" w:space="0" w:color="auto"/>
            <w:bottom w:val="none" w:sz="0" w:space="0" w:color="auto"/>
            <w:right w:val="none" w:sz="0" w:space="0" w:color="auto"/>
          </w:divBdr>
        </w:div>
      </w:divsChild>
    </w:div>
    <w:div w:id="1033336772">
      <w:bodyDiv w:val="1"/>
      <w:marLeft w:val="0"/>
      <w:marRight w:val="0"/>
      <w:marTop w:val="0"/>
      <w:marBottom w:val="0"/>
      <w:divBdr>
        <w:top w:val="none" w:sz="0" w:space="0" w:color="auto"/>
        <w:left w:val="none" w:sz="0" w:space="0" w:color="auto"/>
        <w:bottom w:val="none" w:sz="0" w:space="0" w:color="auto"/>
        <w:right w:val="none" w:sz="0" w:space="0" w:color="auto"/>
      </w:divBdr>
    </w:div>
    <w:div w:id="1051198077">
      <w:bodyDiv w:val="1"/>
      <w:marLeft w:val="0"/>
      <w:marRight w:val="0"/>
      <w:marTop w:val="0"/>
      <w:marBottom w:val="0"/>
      <w:divBdr>
        <w:top w:val="none" w:sz="0" w:space="0" w:color="auto"/>
        <w:left w:val="none" w:sz="0" w:space="0" w:color="auto"/>
        <w:bottom w:val="none" w:sz="0" w:space="0" w:color="auto"/>
        <w:right w:val="none" w:sz="0" w:space="0" w:color="auto"/>
      </w:divBdr>
    </w:div>
    <w:div w:id="1059479690">
      <w:bodyDiv w:val="1"/>
      <w:marLeft w:val="0"/>
      <w:marRight w:val="0"/>
      <w:marTop w:val="0"/>
      <w:marBottom w:val="0"/>
      <w:divBdr>
        <w:top w:val="none" w:sz="0" w:space="0" w:color="auto"/>
        <w:left w:val="none" w:sz="0" w:space="0" w:color="auto"/>
        <w:bottom w:val="none" w:sz="0" w:space="0" w:color="auto"/>
        <w:right w:val="none" w:sz="0" w:space="0" w:color="auto"/>
      </w:divBdr>
    </w:div>
    <w:div w:id="1108893395">
      <w:bodyDiv w:val="1"/>
      <w:marLeft w:val="0"/>
      <w:marRight w:val="0"/>
      <w:marTop w:val="0"/>
      <w:marBottom w:val="0"/>
      <w:divBdr>
        <w:top w:val="none" w:sz="0" w:space="0" w:color="auto"/>
        <w:left w:val="none" w:sz="0" w:space="0" w:color="auto"/>
        <w:bottom w:val="none" w:sz="0" w:space="0" w:color="auto"/>
        <w:right w:val="none" w:sz="0" w:space="0" w:color="auto"/>
      </w:divBdr>
    </w:div>
    <w:div w:id="1123839313">
      <w:bodyDiv w:val="1"/>
      <w:marLeft w:val="0"/>
      <w:marRight w:val="0"/>
      <w:marTop w:val="0"/>
      <w:marBottom w:val="0"/>
      <w:divBdr>
        <w:top w:val="none" w:sz="0" w:space="0" w:color="auto"/>
        <w:left w:val="none" w:sz="0" w:space="0" w:color="auto"/>
        <w:bottom w:val="none" w:sz="0" w:space="0" w:color="auto"/>
        <w:right w:val="none" w:sz="0" w:space="0" w:color="auto"/>
      </w:divBdr>
    </w:div>
    <w:div w:id="1144157056">
      <w:bodyDiv w:val="1"/>
      <w:marLeft w:val="0"/>
      <w:marRight w:val="0"/>
      <w:marTop w:val="0"/>
      <w:marBottom w:val="0"/>
      <w:divBdr>
        <w:top w:val="none" w:sz="0" w:space="0" w:color="auto"/>
        <w:left w:val="none" w:sz="0" w:space="0" w:color="auto"/>
        <w:bottom w:val="none" w:sz="0" w:space="0" w:color="auto"/>
        <w:right w:val="none" w:sz="0" w:space="0" w:color="auto"/>
      </w:divBdr>
    </w:div>
    <w:div w:id="1144272700">
      <w:bodyDiv w:val="1"/>
      <w:marLeft w:val="0"/>
      <w:marRight w:val="0"/>
      <w:marTop w:val="0"/>
      <w:marBottom w:val="0"/>
      <w:divBdr>
        <w:top w:val="none" w:sz="0" w:space="0" w:color="auto"/>
        <w:left w:val="none" w:sz="0" w:space="0" w:color="auto"/>
        <w:bottom w:val="none" w:sz="0" w:space="0" w:color="auto"/>
        <w:right w:val="none" w:sz="0" w:space="0" w:color="auto"/>
      </w:divBdr>
      <w:divsChild>
        <w:div w:id="1896353424">
          <w:marLeft w:val="450"/>
          <w:marRight w:val="0"/>
          <w:marTop w:val="0"/>
          <w:marBottom w:val="0"/>
          <w:divBdr>
            <w:top w:val="none" w:sz="0" w:space="0" w:color="auto"/>
            <w:left w:val="none" w:sz="0" w:space="0" w:color="auto"/>
            <w:bottom w:val="none" w:sz="0" w:space="0" w:color="auto"/>
            <w:right w:val="none" w:sz="0" w:space="0" w:color="auto"/>
          </w:divBdr>
        </w:div>
      </w:divsChild>
    </w:div>
    <w:div w:id="1150705591">
      <w:bodyDiv w:val="1"/>
      <w:marLeft w:val="0"/>
      <w:marRight w:val="0"/>
      <w:marTop w:val="0"/>
      <w:marBottom w:val="0"/>
      <w:divBdr>
        <w:top w:val="none" w:sz="0" w:space="0" w:color="auto"/>
        <w:left w:val="none" w:sz="0" w:space="0" w:color="auto"/>
        <w:bottom w:val="none" w:sz="0" w:space="0" w:color="auto"/>
        <w:right w:val="none" w:sz="0" w:space="0" w:color="auto"/>
      </w:divBdr>
    </w:div>
    <w:div w:id="1153448708">
      <w:bodyDiv w:val="1"/>
      <w:marLeft w:val="0"/>
      <w:marRight w:val="0"/>
      <w:marTop w:val="0"/>
      <w:marBottom w:val="0"/>
      <w:divBdr>
        <w:top w:val="none" w:sz="0" w:space="0" w:color="auto"/>
        <w:left w:val="none" w:sz="0" w:space="0" w:color="auto"/>
        <w:bottom w:val="none" w:sz="0" w:space="0" w:color="auto"/>
        <w:right w:val="none" w:sz="0" w:space="0" w:color="auto"/>
      </w:divBdr>
    </w:div>
    <w:div w:id="1188906184">
      <w:bodyDiv w:val="1"/>
      <w:marLeft w:val="0"/>
      <w:marRight w:val="0"/>
      <w:marTop w:val="0"/>
      <w:marBottom w:val="0"/>
      <w:divBdr>
        <w:top w:val="none" w:sz="0" w:space="0" w:color="auto"/>
        <w:left w:val="none" w:sz="0" w:space="0" w:color="auto"/>
        <w:bottom w:val="none" w:sz="0" w:space="0" w:color="auto"/>
        <w:right w:val="none" w:sz="0" w:space="0" w:color="auto"/>
      </w:divBdr>
    </w:div>
    <w:div w:id="1202017988">
      <w:bodyDiv w:val="1"/>
      <w:marLeft w:val="0"/>
      <w:marRight w:val="0"/>
      <w:marTop w:val="0"/>
      <w:marBottom w:val="0"/>
      <w:divBdr>
        <w:top w:val="none" w:sz="0" w:space="0" w:color="auto"/>
        <w:left w:val="none" w:sz="0" w:space="0" w:color="auto"/>
        <w:bottom w:val="none" w:sz="0" w:space="0" w:color="auto"/>
        <w:right w:val="none" w:sz="0" w:space="0" w:color="auto"/>
      </w:divBdr>
    </w:div>
    <w:div w:id="1257323661">
      <w:bodyDiv w:val="1"/>
      <w:marLeft w:val="0"/>
      <w:marRight w:val="0"/>
      <w:marTop w:val="0"/>
      <w:marBottom w:val="0"/>
      <w:divBdr>
        <w:top w:val="none" w:sz="0" w:space="0" w:color="auto"/>
        <w:left w:val="none" w:sz="0" w:space="0" w:color="auto"/>
        <w:bottom w:val="none" w:sz="0" w:space="0" w:color="auto"/>
        <w:right w:val="none" w:sz="0" w:space="0" w:color="auto"/>
      </w:divBdr>
    </w:div>
    <w:div w:id="1290086144">
      <w:bodyDiv w:val="1"/>
      <w:marLeft w:val="0"/>
      <w:marRight w:val="0"/>
      <w:marTop w:val="0"/>
      <w:marBottom w:val="0"/>
      <w:divBdr>
        <w:top w:val="none" w:sz="0" w:space="0" w:color="auto"/>
        <w:left w:val="none" w:sz="0" w:space="0" w:color="auto"/>
        <w:bottom w:val="none" w:sz="0" w:space="0" w:color="auto"/>
        <w:right w:val="none" w:sz="0" w:space="0" w:color="auto"/>
      </w:divBdr>
      <w:divsChild>
        <w:div w:id="705761256">
          <w:marLeft w:val="450"/>
          <w:marRight w:val="0"/>
          <w:marTop w:val="0"/>
          <w:marBottom w:val="0"/>
          <w:divBdr>
            <w:top w:val="none" w:sz="0" w:space="0" w:color="auto"/>
            <w:left w:val="none" w:sz="0" w:space="0" w:color="auto"/>
            <w:bottom w:val="none" w:sz="0" w:space="0" w:color="auto"/>
            <w:right w:val="none" w:sz="0" w:space="0" w:color="auto"/>
          </w:divBdr>
        </w:div>
      </w:divsChild>
    </w:div>
    <w:div w:id="1329018981">
      <w:bodyDiv w:val="1"/>
      <w:marLeft w:val="0"/>
      <w:marRight w:val="0"/>
      <w:marTop w:val="0"/>
      <w:marBottom w:val="0"/>
      <w:divBdr>
        <w:top w:val="none" w:sz="0" w:space="0" w:color="auto"/>
        <w:left w:val="none" w:sz="0" w:space="0" w:color="auto"/>
        <w:bottom w:val="none" w:sz="0" w:space="0" w:color="auto"/>
        <w:right w:val="none" w:sz="0" w:space="0" w:color="auto"/>
      </w:divBdr>
    </w:div>
    <w:div w:id="1335495969">
      <w:bodyDiv w:val="1"/>
      <w:marLeft w:val="0"/>
      <w:marRight w:val="0"/>
      <w:marTop w:val="0"/>
      <w:marBottom w:val="0"/>
      <w:divBdr>
        <w:top w:val="none" w:sz="0" w:space="0" w:color="auto"/>
        <w:left w:val="none" w:sz="0" w:space="0" w:color="auto"/>
        <w:bottom w:val="none" w:sz="0" w:space="0" w:color="auto"/>
        <w:right w:val="none" w:sz="0" w:space="0" w:color="auto"/>
      </w:divBdr>
    </w:div>
    <w:div w:id="1443956425">
      <w:bodyDiv w:val="1"/>
      <w:marLeft w:val="0"/>
      <w:marRight w:val="0"/>
      <w:marTop w:val="0"/>
      <w:marBottom w:val="0"/>
      <w:divBdr>
        <w:top w:val="none" w:sz="0" w:space="0" w:color="auto"/>
        <w:left w:val="none" w:sz="0" w:space="0" w:color="auto"/>
        <w:bottom w:val="none" w:sz="0" w:space="0" w:color="auto"/>
        <w:right w:val="none" w:sz="0" w:space="0" w:color="auto"/>
      </w:divBdr>
    </w:div>
    <w:div w:id="1452629751">
      <w:bodyDiv w:val="1"/>
      <w:marLeft w:val="0"/>
      <w:marRight w:val="0"/>
      <w:marTop w:val="0"/>
      <w:marBottom w:val="0"/>
      <w:divBdr>
        <w:top w:val="none" w:sz="0" w:space="0" w:color="auto"/>
        <w:left w:val="none" w:sz="0" w:space="0" w:color="auto"/>
        <w:bottom w:val="none" w:sz="0" w:space="0" w:color="auto"/>
        <w:right w:val="none" w:sz="0" w:space="0" w:color="auto"/>
      </w:divBdr>
    </w:div>
    <w:div w:id="1471434295">
      <w:bodyDiv w:val="1"/>
      <w:marLeft w:val="0"/>
      <w:marRight w:val="0"/>
      <w:marTop w:val="0"/>
      <w:marBottom w:val="0"/>
      <w:divBdr>
        <w:top w:val="none" w:sz="0" w:space="0" w:color="auto"/>
        <w:left w:val="none" w:sz="0" w:space="0" w:color="auto"/>
        <w:bottom w:val="none" w:sz="0" w:space="0" w:color="auto"/>
        <w:right w:val="none" w:sz="0" w:space="0" w:color="auto"/>
      </w:divBdr>
    </w:div>
    <w:div w:id="1476558056">
      <w:bodyDiv w:val="1"/>
      <w:marLeft w:val="0"/>
      <w:marRight w:val="0"/>
      <w:marTop w:val="0"/>
      <w:marBottom w:val="0"/>
      <w:divBdr>
        <w:top w:val="none" w:sz="0" w:space="0" w:color="auto"/>
        <w:left w:val="none" w:sz="0" w:space="0" w:color="auto"/>
        <w:bottom w:val="none" w:sz="0" w:space="0" w:color="auto"/>
        <w:right w:val="none" w:sz="0" w:space="0" w:color="auto"/>
      </w:divBdr>
    </w:div>
    <w:div w:id="1508591650">
      <w:bodyDiv w:val="1"/>
      <w:marLeft w:val="0"/>
      <w:marRight w:val="0"/>
      <w:marTop w:val="0"/>
      <w:marBottom w:val="0"/>
      <w:divBdr>
        <w:top w:val="none" w:sz="0" w:space="0" w:color="auto"/>
        <w:left w:val="none" w:sz="0" w:space="0" w:color="auto"/>
        <w:bottom w:val="none" w:sz="0" w:space="0" w:color="auto"/>
        <w:right w:val="none" w:sz="0" w:space="0" w:color="auto"/>
      </w:divBdr>
      <w:divsChild>
        <w:div w:id="76755574">
          <w:marLeft w:val="0"/>
          <w:marRight w:val="0"/>
          <w:marTop w:val="0"/>
          <w:marBottom w:val="0"/>
          <w:divBdr>
            <w:top w:val="none" w:sz="0" w:space="0" w:color="auto"/>
            <w:left w:val="none" w:sz="0" w:space="0" w:color="auto"/>
            <w:bottom w:val="none" w:sz="0" w:space="0" w:color="auto"/>
            <w:right w:val="none" w:sz="0" w:space="0" w:color="auto"/>
          </w:divBdr>
          <w:divsChild>
            <w:div w:id="115563144">
              <w:marLeft w:val="0"/>
              <w:marRight w:val="0"/>
              <w:marTop w:val="0"/>
              <w:marBottom w:val="0"/>
              <w:divBdr>
                <w:top w:val="none" w:sz="0" w:space="0" w:color="auto"/>
                <w:left w:val="none" w:sz="0" w:space="0" w:color="auto"/>
                <w:bottom w:val="none" w:sz="0" w:space="0" w:color="auto"/>
                <w:right w:val="none" w:sz="0" w:space="0" w:color="auto"/>
              </w:divBdr>
            </w:div>
            <w:div w:id="154420395">
              <w:marLeft w:val="0"/>
              <w:marRight w:val="0"/>
              <w:marTop w:val="0"/>
              <w:marBottom w:val="0"/>
              <w:divBdr>
                <w:top w:val="none" w:sz="0" w:space="0" w:color="auto"/>
                <w:left w:val="none" w:sz="0" w:space="0" w:color="auto"/>
                <w:bottom w:val="none" w:sz="0" w:space="0" w:color="auto"/>
                <w:right w:val="none" w:sz="0" w:space="0" w:color="auto"/>
              </w:divBdr>
            </w:div>
            <w:div w:id="176310478">
              <w:marLeft w:val="0"/>
              <w:marRight w:val="0"/>
              <w:marTop w:val="0"/>
              <w:marBottom w:val="0"/>
              <w:divBdr>
                <w:top w:val="none" w:sz="0" w:space="0" w:color="auto"/>
                <w:left w:val="none" w:sz="0" w:space="0" w:color="auto"/>
                <w:bottom w:val="none" w:sz="0" w:space="0" w:color="auto"/>
                <w:right w:val="none" w:sz="0" w:space="0" w:color="auto"/>
              </w:divBdr>
            </w:div>
            <w:div w:id="290747258">
              <w:marLeft w:val="0"/>
              <w:marRight w:val="0"/>
              <w:marTop w:val="0"/>
              <w:marBottom w:val="0"/>
              <w:divBdr>
                <w:top w:val="none" w:sz="0" w:space="0" w:color="auto"/>
                <w:left w:val="none" w:sz="0" w:space="0" w:color="auto"/>
                <w:bottom w:val="none" w:sz="0" w:space="0" w:color="auto"/>
                <w:right w:val="none" w:sz="0" w:space="0" w:color="auto"/>
              </w:divBdr>
            </w:div>
            <w:div w:id="427771601">
              <w:marLeft w:val="0"/>
              <w:marRight w:val="0"/>
              <w:marTop w:val="0"/>
              <w:marBottom w:val="0"/>
              <w:divBdr>
                <w:top w:val="none" w:sz="0" w:space="0" w:color="auto"/>
                <w:left w:val="none" w:sz="0" w:space="0" w:color="auto"/>
                <w:bottom w:val="none" w:sz="0" w:space="0" w:color="auto"/>
                <w:right w:val="none" w:sz="0" w:space="0" w:color="auto"/>
              </w:divBdr>
            </w:div>
            <w:div w:id="607081561">
              <w:marLeft w:val="0"/>
              <w:marRight w:val="0"/>
              <w:marTop w:val="0"/>
              <w:marBottom w:val="0"/>
              <w:divBdr>
                <w:top w:val="none" w:sz="0" w:space="0" w:color="auto"/>
                <w:left w:val="none" w:sz="0" w:space="0" w:color="auto"/>
                <w:bottom w:val="none" w:sz="0" w:space="0" w:color="auto"/>
                <w:right w:val="none" w:sz="0" w:space="0" w:color="auto"/>
              </w:divBdr>
            </w:div>
            <w:div w:id="646862802">
              <w:marLeft w:val="0"/>
              <w:marRight w:val="0"/>
              <w:marTop w:val="0"/>
              <w:marBottom w:val="0"/>
              <w:divBdr>
                <w:top w:val="none" w:sz="0" w:space="0" w:color="auto"/>
                <w:left w:val="none" w:sz="0" w:space="0" w:color="auto"/>
                <w:bottom w:val="none" w:sz="0" w:space="0" w:color="auto"/>
                <w:right w:val="none" w:sz="0" w:space="0" w:color="auto"/>
              </w:divBdr>
            </w:div>
            <w:div w:id="688603658">
              <w:marLeft w:val="0"/>
              <w:marRight w:val="0"/>
              <w:marTop w:val="0"/>
              <w:marBottom w:val="0"/>
              <w:divBdr>
                <w:top w:val="none" w:sz="0" w:space="0" w:color="auto"/>
                <w:left w:val="none" w:sz="0" w:space="0" w:color="auto"/>
                <w:bottom w:val="none" w:sz="0" w:space="0" w:color="auto"/>
                <w:right w:val="none" w:sz="0" w:space="0" w:color="auto"/>
              </w:divBdr>
            </w:div>
            <w:div w:id="867181323">
              <w:marLeft w:val="0"/>
              <w:marRight w:val="0"/>
              <w:marTop w:val="0"/>
              <w:marBottom w:val="0"/>
              <w:divBdr>
                <w:top w:val="none" w:sz="0" w:space="0" w:color="auto"/>
                <w:left w:val="none" w:sz="0" w:space="0" w:color="auto"/>
                <w:bottom w:val="none" w:sz="0" w:space="0" w:color="auto"/>
                <w:right w:val="none" w:sz="0" w:space="0" w:color="auto"/>
              </w:divBdr>
            </w:div>
            <w:div w:id="1016276446">
              <w:marLeft w:val="0"/>
              <w:marRight w:val="0"/>
              <w:marTop w:val="0"/>
              <w:marBottom w:val="0"/>
              <w:divBdr>
                <w:top w:val="none" w:sz="0" w:space="0" w:color="auto"/>
                <w:left w:val="none" w:sz="0" w:space="0" w:color="auto"/>
                <w:bottom w:val="none" w:sz="0" w:space="0" w:color="auto"/>
                <w:right w:val="none" w:sz="0" w:space="0" w:color="auto"/>
              </w:divBdr>
            </w:div>
            <w:div w:id="1079867789">
              <w:marLeft w:val="0"/>
              <w:marRight w:val="0"/>
              <w:marTop w:val="0"/>
              <w:marBottom w:val="0"/>
              <w:divBdr>
                <w:top w:val="none" w:sz="0" w:space="0" w:color="auto"/>
                <w:left w:val="none" w:sz="0" w:space="0" w:color="auto"/>
                <w:bottom w:val="none" w:sz="0" w:space="0" w:color="auto"/>
                <w:right w:val="none" w:sz="0" w:space="0" w:color="auto"/>
              </w:divBdr>
            </w:div>
            <w:div w:id="1083258564">
              <w:marLeft w:val="0"/>
              <w:marRight w:val="0"/>
              <w:marTop w:val="0"/>
              <w:marBottom w:val="0"/>
              <w:divBdr>
                <w:top w:val="none" w:sz="0" w:space="0" w:color="auto"/>
                <w:left w:val="none" w:sz="0" w:space="0" w:color="auto"/>
                <w:bottom w:val="none" w:sz="0" w:space="0" w:color="auto"/>
                <w:right w:val="none" w:sz="0" w:space="0" w:color="auto"/>
              </w:divBdr>
            </w:div>
            <w:div w:id="1350791751">
              <w:marLeft w:val="0"/>
              <w:marRight w:val="0"/>
              <w:marTop w:val="0"/>
              <w:marBottom w:val="0"/>
              <w:divBdr>
                <w:top w:val="none" w:sz="0" w:space="0" w:color="auto"/>
                <w:left w:val="none" w:sz="0" w:space="0" w:color="auto"/>
                <w:bottom w:val="none" w:sz="0" w:space="0" w:color="auto"/>
                <w:right w:val="none" w:sz="0" w:space="0" w:color="auto"/>
              </w:divBdr>
            </w:div>
            <w:div w:id="1351831588">
              <w:marLeft w:val="0"/>
              <w:marRight w:val="0"/>
              <w:marTop w:val="0"/>
              <w:marBottom w:val="0"/>
              <w:divBdr>
                <w:top w:val="none" w:sz="0" w:space="0" w:color="auto"/>
                <w:left w:val="none" w:sz="0" w:space="0" w:color="auto"/>
                <w:bottom w:val="none" w:sz="0" w:space="0" w:color="auto"/>
                <w:right w:val="none" w:sz="0" w:space="0" w:color="auto"/>
              </w:divBdr>
            </w:div>
            <w:div w:id="1537306985">
              <w:marLeft w:val="0"/>
              <w:marRight w:val="0"/>
              <w:marTop w:val="0"/>
              <w:marBottom w:val="0"/>
              <w:divBdr>
                <w:top w:val="none" w:sz="0" w:space="0" w:color="auto"/>
                <w:left w:val="none" w:sz="0" w:space="0" w:color="auto"/>
                <w:bottom w:val="none" w:sz="0" w:space="0" w:color="auto"/>
                <w:right w:val="none" w:sz="0" w:space="0" w:color="auto"/>
              </w:divBdr>
            </w:div>
            <w:div w:id="1692681924">
              <w:marLeft w:val="0"/>
              <w:marRight w:val="0"/>
              <w:marTop w:val="0"/>
              <w:marBottom w:val="0"/>
              <w:divBdr>
                <w:top w:val="none" w:sz="0" w:space="0" w:color="auto"/>
                <w:left w:val="none" w:sz="0" w:space="0" w:color="auto"/>
                <w:bottom w:val="none" w:sz="0" w:space="0" w:color="auto"/>
                <w:right w:val="none" w:sz="0" w:space="0" w:color="auto"/>
              </w:divBdr>
            </w:div>
            <w:div w:id="1726100155">
              <w:marLeft w:val="0"/>
              <w:marRight w:val="0"/>
              <w:marTop w:val="0"/>
              <w:marBottom w:val="0"/>
              <w:divBdr>
                <w:top w:val="none" w:sz="0" w:space="0" w:color="auto"/>
                <w:left w:val="none" w:sz="0" w:space="0" w:color="auto"/>
                <w:bottom w:val="none" w:sz="0" w:space="0" w:color="auto"/>
                <w:right w:val="none" w:sz="0" w:space="0" w:color="auto"/>
              </w:divBdr>
            </w:div>
            <w:div w:id="1782413231">
              <w:marLeft w:val="0"/>
              <w:marRight w:val="0"/>
              <w:marTop w:val="0"/>
              <w:marBottom w:val="0"/>
              <w:divBdr>
                <w:top w:val="none" w:sz="0" w:space="0" w:color="auto"/>
                <w:left w:val="none" w:sz="0" w:space="0" w:color="auto"/>
                <w:bottom w:val="none" w:sz="0" w:space="0" w:color="auto"/>
                <w:right w:val="none" w:sz="0" w:space="0" w:color="auto"/>
              </w:divBdr>
            </w:div>
            <w:div w:id="2030255184">
              <w:marLeft w:val="0"/>
              <w:marRight w:val="0"/>
              <w:marTop w:val="0"/>
              <w:marBottom w:val="0"/>
              <w:divBdr>
                <w:top w:val="none" w:sz="0" w:space="0" w:color="auto"/>
                <w:left w:val="none" w:sz="0" w:space="0" w:color="auto"/>
                <w:bottom w:val="none" w:sz="0" w:space="0" w:color="auto"/>
                <w:right w:val="none" w:sz="0" w:space="0" w:color="auto"/>
              </w:divBdr>
            </w:div>
            <w:div w:id="2095277545">
              <w:marLeft w:val="0"/>
              <w:marRight w:val="0"/>
              <w:marTop w:val="0"/>
              <w:marBottom w:val="0"/>
              <w:divBdr>
                <w:top w:val="none" w:sz="0" w:space="0" w:color="auto"/>
                <w:left w:val="none" w:sz="0" w:space="0" w:color="auto"/>
                <w:bottom w:val="none" w:sz="0" w:space="0" w:color="auto"/>
                <w:right w:val="none" w:sz="0" w:space="0" w:color="auto"/>
              </w:divBdr>
            </w:div>
          </w:divsChild>
        </w:div>
        <w:div w:id="1406613575">
          <w:marLeft w:val="0"/>
          <w:marRight w:val="0"/>
          <w:marTop w:val="0"/>
          <w:marBottom w:val="0"/>
          <w:divBdr>
            <w:top w:val="none" w:sz="0" w:space="0" w:color="auto"/>
            <w:left w:val="none" w:sz="0" w:space="0" w:color="auto"/>
            <w:bottom w:val="none" w:sz="0" w:space="0" w:color="auto"/>
            <w:right w:val="none" w:sz="0" w:space="0" w:color="auto"/>
          </w:divBdr>
          <w:divsChild>
            <w:div w:id="204945658">
              <w:marLeft w:val="0"/>
              <w:marRight w:val="0"/>
              <w:marTop w:val="0"/>
              <w:marBottom w:val="0"/>
              <w:divBdr>
                <w:top w:val="none" w:sz="0" w:space="0" w:color="auto"/>
                <w:left w:val="none" w:sz="0" w:space="0" w:color="auto"/>
                <w:bottom w:val="none" w:sz="0" w:space="0" w:color="auto"/>
                <w:right w:val="none" w:sz="0" w:space="0" w:color="auto"/>
              </w:divBdr>
            </w:div>
            <w:div w:id="243220943">
              <w:marLeft w:val="0"/>
              <w:marRight w:val="0"/>
              <w:marTop w:val="0"/>
              <w:marBottom w:val="0"/>
              <w:divBdr>
                <w:top w:val="none" w:sz="0" w:space="0" w:color="auto"/>
                <w:left w:val="none" w:sz="0" w:space="0" w:color="auto"/>
                <w:bottom w:val="none" w:sz="0" w:space="0" w:color="auto"/>
                <w:right w:val="none" w:sz="0" w:space="0" w:color="auto"/>
              </w:divBdr>
            </w:div>
            <w:div w:id="248386647">
              <w:marLeft w:val="0"/>
              <w:marRight w:val="0"/>
              <w:marTop w:val="0"/>
              <w:marBottom w:val="0"/>
              <w:divBdr>
                <w:top w:val="none" w:sz="0" w:space="0" w:color="auto"/>
                <w:left w:val="none" w:sz="0" w:space="0" w:color="auto"/>
                <w:bottom w:val="none" w:sz="0" w:space="0" w:color="auto"/>
                <w:right w:val="none" w:sz="0" w:space="0" w:color="auto"/>
              </w:divBdr>
            </w:div>
            <w:div w:id="560599409">
              <w:marLeft w:val="0"/>
              <w:marRight w:val="0"/>
              <w:marTop w:val="0"/>
              <w:marBottom w:val="0"/>
              <w:divBdr>
                <w:top w:val="none" w:sz="0" w:space="0" w:color="auto"/>
                <w:left w:val="none" w:sz="0" w:space="0" w:color="auto"/>
                <w:bottom w:val="none" w:sz="0" w:space="0" w:color="auto"/>
                <w:right w:val="none" w:sz="0" w:space="0" w:color="auto"/>
              </w:divBdr>
            </w:div>
            <w:div w:id="649871099">
              <w:marLeft w:val="0"/>
              <w:marRight w:val="0"/>
              <w:marTop w:val="0"/>
              <w:marBottom w:val="0"/>
              <w:divBdr>
                <w:top w:val="none" w:sz="0" w:space="0" w:color="auto"/>
                <w:left w:val="none" w:sz="0" w:space="0" w:color="auto"/>
                <w:bottom w:val="none" w:sz="0" w:space="0" w:color="auto"/>
                <w:right w:val="none" w:sz="0" w:space="0" w:color="auto"/>
              </w:divBdr>
            </w:div>
            <w:div w:id="662897118">
              <w:marLeft w:val="0"/>
              <w:marRight w:val="0"/>
              <w:marTop w:val="0"/>
              <w:marBottom w:val="0"/>
              <w:divBdr>
                <w:top w:val="none" w:sz="0" w:space="0" w:color="auto"/>
                <w:left w:val="none" w:sz="0" w:space="0" w:color="auto"/>
                <w:bottom w:val="none" w:sz="0" w:space="0" w:color="auto"/>
                <w:right w:val="none" w:sz="0" w:space="0" w:color="auto"/>
              </w:divBdr>
            </w:div>
            <w:div w:id="727535204">
              <w:marLeft w:val="0"/>
              <w:marRight w:val="0"/>
              <w:marTop w:val="0"/>
              <w:marBottom w:val="0"/>
              <w:divBdr>
                <w:top w:val="none" w:sz="0" w:space="0" w:color="auto"/>
                <w:left w:val="none" w:sz="0" w:space="0" w:color="auto"/>
                <w:bottom w:val="none" w:sz="0" w:space="0" w:color="auto"/>
                <w:right w:val="none" w:sz="0" w:space="0" w:color="auto"/>
              </w:divBdr>
            </w:div>
            <w:div w:id="827281936">
              <w:marLeft w:val="0"/>
              <w:marRight w:val="0"/>
              <w:marTop w:val="0"/>
              <w:marBottom w:val="0"/>
              <w:divBdr>
                <w:top w:val="none" w:sz="0" w:space="0" w:color="auto"/>
                <w:left w:val="none" w:sz="0" w:space="0" w:color="auto"/>
                <w:bottom w:val="none" w:sz="0" w:space="0" w:color="auto"/>
                <w:right w:val="none" w:sz="0" w:space="0" w:color="auto"/>
              </w:divBdr>
            </w:div>
            <w:div w:id="928081218">
              <w:marLeft w:val="0"/>
              <w:marRight w:val="0"/>
              <w:marTop w:val="0"/>
              <w:marBottom w:val="0"/>
              <w:divBdr>
                <w:top w:val="none" w:sz="0" w:space="0" w:color="auto"/>
                <w:left w:val="none" w:sz="0" w:space="0" w:color="auto"/>
                <w:bottom w:val="none" w:sz="0" w:space="0" w:color="auto"/>
                <w:right w:val="none" w:sz="0" w:space="0" w:color="auto"/>
              </w:divBdr>
            </w:div>
            <w:div w:id="1013143776">
              <w:marLeft w:val="0"/>
              <w:marRight w:val="0"/>
              <w:marTop w:val="0"/>
              <w:marBottom w:val="0"/>
              <w:divBdr>
                <w:top w:val="none" w:sz="0" w:space="0" w:color="auto"/>
                <w:left w:val="none" w:sz="0" w:space="0" w:color="auto"/>
                <w:bottom w:val="none" w:sz="0" w:space="0" w:color="auto"/>
                <w:right w:val="none" w:sz="0" w:space="0" w:color="auto"/>
              </w:divBdr>
            </w:div>
            <w:div w:id="1098253503">
              <w:marLeft w:val="0"/>
              <w:marRight w:val="0"/>
              <w:marTop w:val="0"/>
              <w:marBottom w:val="0"/>
              <w:divBdr>
                <w:top w:val="none" w:sz="0" w:space="0" w:color="auto"/>
                <w:left w:val="none" w:sz="0" w:space="0" w:color="auto"/>
                <w:bottom w:val="none" w:sz="0" w:space="0" w:color="auto"/>
                <w:right w:val="none" w:sz="0" w:space="0" w:color="auto"/>
              </w:divBdr>
            </w:div>
            <w:div w:id="1150169255">
              <w:marLeft w:val="0"/>
              <w:marRight w:val="0"/>
              <w:marTop w:val="0"/>
              <w:marBottom w:val="0"/>
              <w:divBdr>
                <w:top w:val="none" w:sz="0" w:space="0" w:color="auto"/>
                <w:left w:val="none" w:sz="0" w:space="0" w:color="auto"/>
                <w:bottom w:val="none" w:sz="0" w:space="0" w:color="auto"/>
                <w:right w:val="none" w:sz="0" w:space="0" w:color="auto"/>
              </w:divBdr>
            </w:div>
            <w:div w:id="1166939747">
              <w:marLeft w:val="0"/>
              <w:marRight w:val="0"/>
              <w:marTop w:val="0"/>
              <w:marBottom w:val="0"/>
              <w:divBdr>
                <w:top w:val="none" w:sz="0" w:space="0" w:color="auto"/>
                <w:left w:val="none" w:sz="0" w:space="0" w:color="auto"/>
                <w:bottom w:val="none" w:sz="0" w:space="0" w:color="auto"/>
                <w:right w:val="none" w:sz="0" w:space="0" w:color="auto"/>
              </w:divBdr>
            </w:div>
            <w:div w:id="1332946131">
              <w:marLeft w:val="0"/>
              <w:marRight w:val="0"/>
              <w:marTop w:val="0"/>
              <w:marBottom w:val="0"/>
              <w:divBdr>
                <w:top w:val="none" w:sz="0" w:space="0" w:color="auto"/>
                <w:left w:val="none" w:sz="0" w:space="0" w:color="auto"/>
                <w:bottom w:val="none" w:sz="0" w:space="0" w:color="auto"/>
                <w:right w:val="none" w:sz="0" w:space="0" w:color="auto"/>
              </w:divBdr>
            </w:div>
            <w:div w:id="1417751334">
              <w:marLeft w:val="0"/>
              <w:marRight w:val="0"/>
              <w:marTop w:val="0"/>
              <w:marBottom w:val="0"/>
              <w:divBdr>
                <w:top w:val="none" w:sz="0" w:space="0" w:color="auto"/>
                <w:left w:val="none" w:sz="0" w:space="0" w:color="auto"/>
                <w:bottom w:val="none" w:sz="0" w:space="0" w:color="auto"/>
                <w:right w:val="none" w:sz="0" w:space="0" w:color="auto"/>
              </w:divBdr>
            </w:div>
            <w:div w:id="1457799328">
              <w:marLeft w:val="0"/>
              <w:marRight w:val="0"/>
              <w:marTop w:val="0"/>
              <w:marBottom w:val="0"/>
              <w:divBdr>
                <w:top w:val="none" w:sz="0" w:space="0" w:color="auto"/>
                <w:left w:val="none" w:sz="0" w:space="0" w:color="auto"/>
                <w:bottom w:val="none" w:sz="0" w:space="0" w:color="auto"/>
                <w:right w:val="none" w:sz="0" w:space="0" w:color="auto"/>
              </w:divBdr>
            </w:div>
            <w:div w:id="1471634809">
              <w:marLeft w:val="0"/>
              <w:marRight w:val="0"/>
              <w:marTop w:val="0"/>
              <w:marBottom w:val="0"/>
              <w:divBdr>
                <w:top w:val="none" w:sz="0" w:space="0" w:color="auto"/>
                <w:left w:val="none" w:sz="0" w:space="0" w:color="auto"/>
                <w:bottom w:val="none" w:sz="0" w:space="0" w:color="auto"/>
                <w:right w:val="none" w:sz="0" w:space="0" w:color="auto"/>
              </w:divBdr>
            </w:div>
            <w:div w:id="1612937687">
              <w:marLeft w:val="0"/>
              <w:marRight w:val="0"/>
              <w:marTop w:val="0"/>
              <w:marBottom w:val="0"/>
              <w:divBdr>
                <w:top w:val="none" w:sz="0" w:space="0" w:color="auto"/>
                <w:left w:val="none" w:sz="0" w:space="0" w:color="auto"/>
                <w:bottom w:val="none" w:sz="0" w:space="0" w:color="auto"/>
                <w:right w:val="none" w:sz="0" w:space="0" w:color="auto"/>
              </w:divBdr>
            </w:div>
            <w:div w:id="1778057337">
              <w:marLeft w:val="0"/>
              <w:marRight w:val="0"/>
              <w:marTop w:val="0"/>
              <w:marBottom w:val="0"/>
              <w:divBdr>
                <w:top w:val="none" w:sz="0" w:space="0" w:color="auto"/>
                <w:left w:val="none" w:sz="0" w:space="0" w:color="auto"/>
                <w:bottom w:val="none" w:sz="0" w:space="0" w:color="auto"/>
                <w:right w:val="none" w:sz="0" w:space="0" w:color="auto"/>
              </w:divBdr>
            </w:div>
            <w:div w:id="2105950701">
              <w:marLeft w:val="0"/>
              <w:marRight w:val="0"/>
              <w:marTop w:val="0"/>
              <w:marBottom w:val="0"/>
              <w:divBdr>
                <w:top w:val="none" w:sz="0" w:space="0" w:color="auto"/>
                <w:left w:val="none" w:sz="0" w:space="0" w:color="auto"/>
                <w:bottom w:val="none" w:sz="0" w:space="0" w:color="auto"/>
                <w:right w:val="none" w:sz="0" w:space="0" w:color="auto"/>
              </w:divBdr>
            </w:div>
          </w:divsChild>
        </w:div>
        <w:div w:id="1726485878">
          <w:marLeft w:val="0"/>
          <w:marRight w:val="0"/>
          <w:marTop w:val="0"/>
          <w:marBottom w:val="0"/>
          <w:divBdr>
            <w:top w:val="none" w:sz="0" w:space="0" w:color="auto"/>
            <w:left w:val="none" w:sz="0" w:space="0" w:color="auto"/>
            <w:bottom w:val="none" w:sz="0" w:space="0" w:color="auto"/>
            <w:right w:val="none" w:sz="0" w:space="0" w:color="auto"/>
          </w:divBdr>
          <w:divsChild>
            <w:div w:id="74666194">
              <w:marLeft w:val="0"/>
              <w:marRight w:val="0"/>
              <w:marTop w:val="0"/>
              <w:marBottom w:val="0"/>
              <w:divBdr>
                <w:top w:val="none" w:sz="0" w:space="0" w:color="auto"/>
                <w:left w:val="none" w:sz="0" w:space="0" w:color="auto"/>
                <w:bottom w:val="none" w:sz="0" w:space="0" w:color="auto"/>
                <w:right w:val="none" w:sz="0" w:space="0" w:color="auto"/>
              </w:divBdr>
            </w:div>
            <w:div w:id="165832277">
              <w:marLeft w:val="0"/>
              <w:marRight w:val="0"/>
              <w:marTop w:val="0"/>
              <w:marBottom w:val="0"/>
              <w:divBdr>
                <w:top w:val="none" w:sz="0" w:space="0" w:color="auto"/>
                <w:left w:val="none" w:sz="0" w:space="0" w:color="auto"/>
                <w:bottom w:val="none" w:sz="0" w:space="0" w:color="auto"/>
                <w:right w:val="none" w:sz="0" w:space="0" w:color="auto"/>
              </w:divBdr>
            </w:div>
            <w:div w:id="250433140">
              <w:marLeft w:val="0"/>
              <w:marRight w:val="0"/>
              <w:marTop w:val="0"/>
              <w:marBottom w:val="0"/>
              <w:divBdr>
                <w:top w:val="none" w:sz="0" w:space="0" w:color="auto"/>
                <w:left w:val="none" w:sz="0" w:space="0" w:color="auto"/>
                <w:bottom w:val="none" w:sz="0" w:space="0" w:color="auto"/>
                <w:right w:val="none" w:sz="0" w:space="0" w:color="auto"/>
              </w:divBdr>
            </w:div>
            <w:div w:id="373888808">
              <w:marLeft w:val="0"/>
              <w:marRight w:val="0"/>
              <w:marTop w:val="0"/>
              <w:marBottom w:val="0"/>
              <w:divBdr>
                <w:top w:val="none" w:sz="0" w:space="0" w:color="auto"/>
                <w:left w:val="none" w:sz="0" w:space="0" w:color="auto"/>
                <w:bottom w:val="none" w:sz="0" w:space="0" w:color="auto"/>
                <w:right w:val="none" w:sz="0" w:space="0" w:color="auto"/>
              </w:divBdr>
            </w:div>
            <w:div w:id="466624551">
              <w:marLeft w:val="0"/>
              <w:marRight w:val="0"/>
              <w:marTop w:val="0"/>
              <w:marBottom w:val="0"/>
              <w:divBdr>
                <w:top w:val="none" w:sz="0" w:space="0" w:color="auto"/>
                <w:left w:val="none" w:sz="0" w:space="0" w:color="auto"/>
                <w:bottom w:val="none" w:sz="0" w:space="0" w:color="auto"/>
                <w:right w:val="none" w:sz="0" w:space="0" w:color="auto"/>
              </w:divBdr>
            </w:div>
            <w:div w:id="535853025">
              <w:marLeft w:val="0"/>
              <w:marRight w:val="0"/>
              <w:marTop w:val="0"/>
              <w:marBottom w:val="0"/>
              <w:divBdr>
                <w:top w:val="none" w:sz="0" w:space="0" w:color="auto"/>
                <w:left w:val="none" w:sz="0" w:space="0" w:color="auto"/>
                <w:bottom w:val="none" w:sz="0" w:space="0" w:color="auto"/>
                <w:right w:val="none" w:sz="0" w:space="0" w:color="auto"/>
              </w:divBdr>
            </w:div>
            <w:div w:id="581723600">
              <w:marLeft w:val="0"/>
              <w:marRight w:val="0"/>
              <w:marTop w:val="0"/>
              <w:marBottom w:val="0"/>
              <w:divBdr>
                <w:top w:val="none" w:sz="0" w:space="0" w:color="auto"/>
                <w:left w:val="none" w:sz="0" w:space="0" w:color="auto"/>
                <w:bottom w:val="none" w:sz="0" w:space="0" w:color="auto"/>
                <w:right w:val="none" w:sz="0" w:space="0" w:color="auto"/>
              </w:divBdr>
            </w:div>
            <w:div w:id="616331140">
              <w:marLeft w:val="0"/>
              <w:marRight w:val="0"/>
              <w:marTop w:val="0"/>
              <w:marBottom w:val="0"/>
              <w:divBdr>
                <w:top w:val="none" w:sz="0" w:space="0" w:color="auto"/>
                <w:left w:val="none" w:sz="0" w:space="0" w:color="auto"/>
                <w:bottom w:val="none" w:sz="0" w:space="0" w:color="auto"/>
                <w:right w:val="none" w:sz="0" w:space="0" w:color="auto"/>
              </w:divBdr>
            </w:div>
            <w:div w:id="689991017">
              <w:marLeft w:val="0"/>
              <w:marRight w:val="0"/>
              <w:marTop w:val="0"/>
              <w:marBottom w:val="0"/>
              <w:divBdr>
                <w:top w:val="none" w:sz="0" w:space="0" w:color="auto"/>
                <w:left w:val="none" w:sz="0" w:space="0" w:color="auto"/>
                <w:bottom w:val="none" w:sz="0" w:space="0" w:color="auto"/>
                <w:right w:val="none" w:sz="0" w:space="0" w:color="auto"/>
              </w:divBdr>
            </w:div>
            <w:div w:id="742218352">
              <w:marLeft w:val="0"/>
              <w:marRight w:val="0"/>
              <w:marTop w:val="0"/>
              <w:marBottom w:val="0"/>
              <w:divBdr>
                <w:top w:val="none" w:sz="0" w:space="0" w:color="auto"/>
                <w:left w:val="none" w:sz="0" w:space="0" w:color="auto"/>
                <w:bottom w:val="none" w:sz="0" w:space="0" w:color="auto"/>
                <w:right w:val="none" w:sz="0" w:space="0" w:color="auto"/>
              </w:divBdr>
            </w:div>
            <w:div w:id="877425719">
              <w:marLeft w:val="0"/>
              <w:marRight w:val="0"/>
              <w:marTop w:val="0"/>
              <w:marBottom w:val="0"/>
              <w:divBdr>
                <w:top w:val="none" w:sz="0" w:space="0" w:color="auto"/>
                <w:left w:val="none" w:sz="0" w:space="0" w:color="auto"/>
                <w:bottom w:val="none" w:sz="0" w:space="0" w:color="auto"/>
                <w:right w:val="none" w:sz="0" w:space="0" w:color="auto"/>
              </w:divBdr>
            </w:div>
            <w:div w:id="1141965303">
              <w:marLeft w:val="0"/>
              <w:marRight w:val="0"/>
              <w:marTop w:val="0"/>
              <w:marBottom w:val="0"/>
              <w:divBdr>
                <w:top w:val="none" w:sz="0" w:space="0" w:color="auto"/>
                <w:left w:val="none" w:sz="0" w:space="0" w:color="auto"/>
                <w:bottom w:val="none" w:sz="0" w:space="0" w:color="auto"/>
                <w:right w:val="none" w:sz="0" w:space="0" w:color="auto"/>
              </w:divBdr>
            </w:div>
            <w:div w:id="1260603566">
              <w:marLeft w:val="0"/>
              <w:marRight w:val="0"/>
              <w:marTop w:val="0"/>
              <w:marBottom w:val="0"/>
              <w:divBdr>
                <w:top w:val="none" w:sz="0" w:space="0" w:color="auto"/>
                <w:left w:val="none" w:sz="0" w:space="0" w:color="auto"/>
                <w:bottom w:val="none" w:sz="0" w:space="0" w:color="auto"/>
                <w:right w:val="none" w:sz="0" w:space="0" w:color="auto"/>
              </w:divBdr>
            </w:div>
            <w:div w:id="1580944324">
              <w:marLeft w:val="0"/>
              <w:marRight w:val="0"/>
              <w:marTop w:val="0"/>
              <w:marBottom w:val="0"/>
              <w:divBdr>
                <w:top w:val="none" w:sz="0" w:space="0" w:color="auto"/>
                <w:left w:val="none" w:sz="0" w:space="0" w:color="auto"/>
                <w:bottom w:val="none" w:sz="0" w:space="0" w:color="auto"/>
                <w:right w:val="none" w:sz="0" w:space="0" w:color="auto"/>
              </w:divBdr>
            </w:div>
            <w:div w:id="1625572508">
              <w:marLeft w:val="0"/>
              <w:marRight w:val="0"/>
              <w:marTop w:val="0"/>
              <w:marBottom w:val="0"/>
              <w:divBdr>
                <w:top w:val="none" w:sz="0" w:space="0" w:color="auto"/>
                <w:left w:val="none" w:sz="0" w:space="0" w:color="auto"/>
                <w:bottom w:val="none" w:sz="0" w:space="0" w:color="auto"/>
                <w:right w:val="none" w:sz="0" w:space="0" w:color="auto"/>
              </w:divBdr>
            </w:div>
            <w:div w:id="1681852472">
              <w:marLeft w:val="0"/>
              <w:marRight w:val="0"/>
              <w:marTop w:val="0"/>
              <w:marBottom w:val="0"/>
              <w:divBdr>
                <w:top w:val="none" w:sz="0" w:space="0" w:color="auto"/>
                <w:left w:val="none" w:sz="0" w:space="0" w:color="auto"/>
                <w:bottom w:val="none" w:sz="0" w:space="0" w:color="auto"/>
                <w:right w:val="none" w:sz="0" w:space="0" w:color="auto"/>
              </w:divBdr>
            </w:div>
            <w:div w:id="1877153549">
              <w:marLeft w:val="0"/>
              <w:marRight w:val="0"/>
              <w:marTop w:val="0"/>
              <w:marBottom w:val="0"/>
              <w:divBdr>
                <w:top w:val="none" w:sz="0" w:space="0" w:color="auto"/>
                <w:left w:val="none" w:sz="0" w:space="0" w:color="auto"/>
                <w:bottom w:val="none" w:sz="0" w:space="0" w:color="auto"/>
                <w:right w:val="none" w:sz="0" w:space="0" w:color="auto"/>
              </w:divBdr>
            </w:div>
            <w:div w:id="1908875365">
              <w:marLeft w:val="0"/>
              <w:marRight w:val="0"/>
              <w:marTop w:val="0"/>
              <w:marBottom w:val="0"/>
              <w:divBdr>
                <w:top w:val="none" w:sz="0" w:space="0" w:color="auto"/>
                <w:left w:val="none" w:sz="0" w:space="0" w:color="auto"/>
                <w:bottom w:val="none" w:sz="0" w:space="0" w:color="auto"/>
                <w:right w:val="none" w:sz="0" w:space="0" w:color="auto"/>
              </w:divBdr>
            </w:div>
            <w:div w:id="2116553367">
              <w:marLeft w:val="0"/>
              <w:marRight w:val="0"/>
              <w:marTop w:val="0"/>
              <w:marBottom w:val="0"/>
              <w:divBdr>
                <w:top w:val="none" w:sz="0" w:space="0" w:color="auto"/>
                <w:left w:val="none" w:sz="0" w:space="0" w:color="auto"/>
                <w:bottom w:val="none" w:sz="0" w:space="0" w:color="auto"/>
                <w:right w:val="none" w:sz="0" w:space="0" w:color="auto"/>
              </w:divBdr>
            </w:div>
          </w:divsChild>
        </w:div>
        <w:div w:id="2061975489">
          <w:marLeft w:val="0"/>
          <w:marRight w:val="0"/>
          <w:marTop w:val="0"/>
          <w:marBottom w:val="0"/>
          <w:divBdr>
            <w:top w:val="none" w:sz="0" w:space="0" w:color="auto"/>
            <w:left w:val="none" w:sz="0" w:space="0" w:color="auto"/>
            <w:bottom w:val="none" w:sz="0" w:space="0" w:color="auto"/>
            <w:right w:val="none" w:sz="0" w:space="0" w:color="auto"/>
          </w:divBdr>
          <w:divsChild>
            <w:div w:id="1123035946">
              <w:marLeft w:val="-75"/>
              <w:marRight w:val="0"/>
              <w:marTop w:val="30"/>
              <w:marBottom w:val="30"/>
              <w:divBdr>
                <w:top w:val="none" w:sz="0" w:space="0" w:color="auto"/>
                <w:left w:val="none" w:sz="0" w:space="0" w:color="auto"/>
                <w:bottom w:val="none" w:sz="0" w:space="0" w:color="auto"/>
                <w:right w:val="none" w:sz="0" w:space="0" w:color="auto"/>
              </w:divBdr>
              <w:divsChild>
                <w:div w:id="211119590">
                  <w:marLeft w:val="0"/>
                  <w:marRight w:val="0"/>
                  <w:marTop w:val="0"/>
                  <w:marBottom w:val="0"/>
                  <w:divBdr>
                    <w:top w:val="none" w:sz="0" w:space="0" w:color="auto"/>
                    <w:left w:val="none" w:sz="0" w:space="0" w:color="auto"/>
                    <w:bottom w:val="none" w:sz="0" w:space="0" w:color="auto"/>
                    <w:right w:val="none" w:sz="0" w:space="0" w:color="auto"/>
                  </w:divBdr>
                  <w:divsChild>
                    <w:div w:id="2099322702">
                      <w:marLeft w:val="0"/>
                      <w:marRight w:val="0"/>
                      <w:marTop w:val="0"/>
                      <w:marBottom w:val="0"/>
                      <w:divBdr>
                        <w:top w:val="none" w:sz="0" w:space="0" w:color="auto"/>
                        <w:left w:val="none" w:sz="0" w:space="0" w:color="auto"/>
                        <w:bottom w:val="none" w:sz="0" w:space="0" w:color="auto"/>
                        <w:right w:val="none" w:sz="0" w:space="0" w:color="auto"/>
                      </w:divBdr>
                    </w:div>
                  </w:divsChild>
                </w:div>
                <w:div w:id="276062315">
                  <w:marLeft w:val="0"/>
                  <w:marRight w:val="0"/>
                  <w:marTop w:val="0"/>
                  <w:marBottom w:val="0"/>
                  <w:divBdr>
                    <w:top w:val="none" w:sz="0" w:space="0" w:color="auto"/>
                    <w:left w:val="none" w:sz="0" w:space="0" w:color="auto"/>
                    <w:bottom w:val="none" w:sz="0" w:space="0" w:color="auto"/>
                    <w:right w:val="none" w:sz="0" w:space="0" w:color="auto"/>
                  </w:divBdr>
                  <w:divsChild>
                    <w:div w:id="1050611667">
                      <w:marLeft w:val="0"/>
                      <w:marRight w:val="0"/>
                      <w:marTop w:val="0"/>
                      <w:marBottom w:val="0"/>
                      <w:divBdr>
                        <w:top w:val="none" w:sz="0" w:space="0" w:color="auto"/>
                        <w:left w:val="none" w:sz="0" w:space="0" w:color="auto"/>
                        <w:bottom w:val="none" w:sz="0" w:space="0" w:color="auto"/>
                        <w:right w:val="none" w:sz="0" w:space="0" w:color="auto"/>
                      </w:divBdr>
                    </w:div>
                  </w:divsChild>
                </w:div>
                <w:div w:id="358166015">
                  <w:marLeft w:val="0"/>
                  <w:marRight w:val="0"/>
                  <w:marTop w:val="0"/>
                  <w:marBottom w:val="0"/>
                  <w:divBdr>
                    <w:top w:val="none" w:sz="0" w:space="0" w:color="auto"/>
                    <w:left w:val="none" w:sz="0" w:space="0" w:color="auto"/>
                    <w:bottom w:val="none" w:sz="0" w:space="0" w:color="auto"/>
                    <w:right w:val="none" w:sz="0" w:space="0" w:color="auto"/>
                  </w:divBdr>
                  <w:divsChild>
                    <w:div w:id="1574772548">
                      <w:marLeft w:val="0"/>
                      <w:marRight w:val="0"/>
                      <w:marTop w:val="0"/>
                      <w:marBottom w:val="0"/>
                      <w:divBdr>
                        <w:top w:val="none" w:sz="0" w:space="0" w:color="auto"/>
                        <w:left w:val="none" w:sz="0" w:space="0" w:color="auto"/>
                        <w:bottom w:val="none" w:sz="0" w:space="0" w:color="auto"/>
                        <w:right w:val="none" w:sz="0" w:space="0" w:color="auto"/>
                      </w:divBdr>
                    </w:div>
                  </w:divsChild>
                </w:div>
                <w:div w:id="468281042">
                  <w:marLeft w:val="0"/>
                  <w:marRight w:val="0"/>
                  <w:marTop w:val="0"/>
                  <w:marBottom w:val="0"/>
                  <w:divBdr>
                    <w:top w:val="none" w:sz="0" w:space="0" w:color="auto"/>
                    <w:left w:val="none" w:sz="0" w:space="0" w:color="auto"/>
                    <w:bottom w:val="none" w:sz="0" w:space="0" w:color="auto"/>
                    <w:right w:val="none" w:sz="0" w:space="0" w:color="auto"/>
                  </w:divBdr>
                  <w:divsChild>
                    <w:div w:id="93743697">
                      <w:marLeft w:val="0"/>
                      <w:marRight w:val="0"/>
                      <w:marTop w:val="0"/>
                      <w:marBottom w:val="0"/>
                      <w:divBdr>
                        <w:top w:val="none" w:sz="0" w:space="0" w:color="auto"/>
                        <w:left w:val="none" w:sz="0" w:space="0" w:color="auto"/>
                        <w:bottom w:val="none" w:sz="0" w:space="0" w:color="auto"/>
                        <w:right w:val="none" w:sz="0" w:space="0" w:color="auto"/>
                      </w:divBdr>
                    </w:div>
                    <w:div w:id="282928405">
                      <w:marLeft w:val="0"/>
                      <w:marRight w:val="0"/>
                      <w:marTop w:val="0"/>
                      <w:marBottom w:val="0"/>
                      <w:divBdr>
                        <w:top w:val="none" w:sz="0" w:space="0" w:color="auto"/>
                        <w:left w:val="none" w:sz="0" w:space="0" w:color="auto"/>
                        <w:bottom w:val="none" w:sz="0" w:space="0" w:color="auto"/>
                        <w:right w:val="none" w:sz="0" w:space="0" w:color="auto"/>
                      </w:divBdr>
                    </w:div>
                  </w:divsChild>
                </w:div>
                <w:div w:id="516844569">
                  <w:marLeft w:val="0"/>
                  <w:marRight w:val="0"/>
                  <w:marTop w:val="0"/>
                  <w:marBottom w:val="0"/>
                  <w:divBdr>
                    <w:top w:val="none" w:sz="0" w:space="0" w:color="auto"/>
                    <w:left w:val="none" w:sz="0" w:space="0" w:color="auto"/>
                    <w:bottom w:val="none" w:sz="0" w:space="0" w:color="auto"/>
                    <w:right w:val="none" w:sz="0" w:space="0" w:color="auto"/>
                  </w:divBdr>
                  <w:divsChild>
                    <w:div w:id="1201867834">
                      <w:marLeft w:val="0"/>
                      <w:marRight w:val="0"/>
                      <w:marTop w:val="0"/>
                      <w:marBottom w:val="0"/>
                      <w:divBdr>
                        <w:top w:val="none" w:sz="0" w:space="0" w:color="auto"/>
                        <w:left w:val="none" w:sz="0" w:space="0" w:color="auto"/>
                        <w:bottom w:val="none" w:sz="0" w:space="0" w:color="auto"/>
                        <w:right w:val="none" w:sz="0" w:space="0" w:color="auto"/>
                      </w:divBdr>
                    </w:div>
                  </w:divsChild>
                </w:div>
                <w:div w:id="574632944">
                  <w:marLeft w:val="0"/>
                  <w:marRight w:val="0"/>
                  <w:marTop w:val="0"/>
                  <w:marBottom w:val="0"/>
                  <w:divBdr>
                    <w:top w:val="none" w:sz="0" w:space="0" w:color="auto"/>
                    <w:left w:val="none" w:sz="0" w:space="0" w:color="auto"/>
                    <w:bottom w:val="none" w:sz="0" w:space="0" w:color="auto"/>
                    <w:right w:val="none" w:sz="0" w:space="0" w:color="auto"/>
                  </w:divBdr>
                  <w:divsChild>
                    <w:div w:id="1275206972">
                      <w:marLeft w:val="0"/>
                      <w:marRight w:val="0"/>
                      <w:marTop w:val="0"/>
                      <w:marBottom w:val="0"/>
                      <w:divBdr>
                        <w:top w:val="none" w:sz="0" w:space="0" w:color="auto"/>
                        <w:left w:val="none" w:sz="0" w:space="0" w:color="auto"/>
                        <w:bottom w:val="none" w:sz="0" w:space="0" w:color="auto"/>
                        <w:right w:val="none" w:sz="0" w:space="0" w:color="auto"/>
                      </w:divBdr>
                    </w:div>
                  </w:divsChild>
                </w:div>
                <w:div w:id="664091009">
                  <w:marLeft w:val="0"/>
                  <w:marRight w:val="0"/>
                  <w:marTop w:val="0"/>
                  <w:marBottom w:val="0"/>
                  <w:divBdr>
                    <w:top w:val="none" w:sz="0" w:space="0" w:color="auto"/>
                    <w:left w:val="none" w:sz="0" w:space="0" w:color="auto"/>
                    <w:bottom w:val="none" w:sz="0" w:space="0" w:color="auto"/>
                    <w:right w:val="none" w:sz="0" w:space="0" w:color="auto"/>
                  </w:divBdr>
                  <w:divsChild>
                    <w:div w:id="893538864">
                      <w:marLeft w:val="0"/>
                      <w:marRight w:val="0"/>
                      <w:marTop w:val="0"/>
                      <w:marBottom w:val="0"/>
                      <w:divBdr>
                        <w:top w:val="none" w:sz="0" w:space="0" w:color="auto"/>
                        <w:left w:val="none" w:sz="0" w:space="0" w:color="auto"/>
                        <w:bottom w:val="none" w:sz="0" w:space="0" w:color="auto"/>
                        <w:right w:val="none" w:sz="0" w:space="0" w:color="auto"/>
                      </w:divBdr>
                    </w:div>
                  </w:divsChild>
                </w:div>
                <w:div w:id="726416619">
                  <w:marLeft w:val="0"/>
                  <w:marRight w:val="0"/>
                  <w:marTop w:val="0"/>
                  <w:marBottom w:val="0"/>
                  <w:divBdr>
                    <w:top w:val="none" w:sz="0" w:space="0" w:color="auto"/>
                    <w:left w:val="none" w:sz="0" w:space="0" w:color="auto"/>
                    <w:bottom w:val="none" w:sz="0" w:space="0" w:color="auto"/>
                    <w:right w:val="none" w:sz="0" w:space="0" w:color="auto"/>
                  </w:divBdr>
                  <w:divsChild>
                    <w:div w:id="744183011">
                      <w:marLeft w:val="0"/>
                      <w:marRight w:val="0"/>
                      <w:marTop w:val="0"/>
                      <w:marBottom w:val="0"/>
                      <w:divBdr>
                        <w:top w:val="none" w:sz="0" w:space="0" w:color="auto"/>
                        <w:left w:val="none" w:sz="0" w:space="0" w:color="auto"/>
                        <w:bottom w:val="none" w:sz="0" w:space="0" w:color="auto"/>
                        <w:right w:val="none" w:sz="0" w:space="0" w:color="auto"/>
                      </w:divBdr>
                    </w:div>
                  </w:divsChild>
                </w:div>
                <w:div w:id="771361266">
                  <w:marLeft w:val="0"/>
                  <w:marRight w:val="0"/>
                  <w:marTop w:val="0"/>
                  <w:marBottom w:val="0"/>
                  <w:divBdr>
                    <w:top w:val="none" w:sz="0" w:space="0" w:color="auto"/>
                    <w:left w:val="none" w:sz="0" w:space="0" w:color="auto"/>
                    <w:bottom w:val="none" w:sz="0" w:space="0" w:color="auto"/>
                    <w:right w:val="none" w:sz="0" w:space="0" w:color="auto"/>
                  </w:divBdr>
                  <w:divsChild>
                    <w:div w:id="1646204097">
                      <w:marLeft w:val="0"/>
                      <w:marRight w:val="0"/>
                      <w:marTop w:val="0"/>
                      <w:marBottom w:val="0"/>
                      <w:divBdr>
                        <w:top w:val="none" w:sz="0" w:space="0" w:color="auto"/>
                        <w:left w:val="none" w:sz="0" w:space="0" w:color="auto"/>
                        <w:bottom w:val="none" w:sz="0" w:space="0" w:color="auto"/>
                        <w:right w:val="none" w:sz="0" w:space="0" w:color="auto"/>
                      </w:divBdr>
                    </w:div>
                  </w:divsChild>
                </w:div>
                <w:div w:id="846554086">
                  <w:marLeft w:val="0"/>
                  <w:marRight w:val="0"/>
                  <w:marTop w:val="0"/>
                  <w:marBottom w:val="0"/>
                  <w:divBdr>
                    <w:top w:val="none" w:sz="0" w:space="0" w:color="auto"/>
                    <w:left w:val="none" w:sz="0" w:space="0" w:color="auto"/>
                    <w:bottom w:val="none" w:sz="0" w:space="0" w:color="auto"/>
                    <w:right w:val="none" w:sz="0" w:space="0" w:color="auto"/>
                  </w:divBdr>
                  <w:divsChild>
                    <w:div w:id="330989251">
                      <w:marLeft w:val="0"/>
                      <w:marRight w:val="0"/>
                      <w:marTop w:val="0"/>
                      <w:marBottom w:val="0"/>
                      <w:divBdr>
                        <w:top w:val="none" w:sz="0" w:space="0" w:color="auto"/>
                        <w:left w:val="none" w:sz="0" w:space="0" w:color="auto"/>
                        <w:bottom w:val="none" w:sz="0" w:space="0" w:color="auto"/>
                        <w:right w:val="none" w:sz="0" w:space="0" w:color="auto"/>
                      </w:divBdr>
                    </w:div>
                  </w:divsChild>
                </w:div>
                <w:div w:id="943457675">
                  <w:marLeft w:val="0"/>
                  <w:marRight w:val="0"/>
                  <w:marTop w:val="0"/>
                  <w:marBottom w:val="0"/>
                  <w:divBdr>
                    <w:top w:val="none" w:sz="0" w:space="0" w:color="auto"/>
                    <w:left w:val="none" w:sz="0" w:space="0" w:color="auto"/>
                    <w:bottom w:val="none" w:sz="0" w:space="0" w:color="auto"/>
                    <w:right w:val="none" w:sz="0" w:space="0" w:color="auto"/>
                  </w:divBdr>
                  <w:divsChild>
                    <w:div w:id="531260893">
                      <w:marLeft w:val="0"/>
                      <w:marRight w:val="0"/>
                      <w:marTop w:val="0"/>
                      <w:marBottom w:val="0"/>
                      <w:divBdr>
                        <w:top w:val="none" w:sz="0" w:space="0" w:color="auto"/>
                        <w:left w:val="none" w:sz="0" w:space="0" w:color="auto"/>
                        <w:bottom w:val="none" w:sz="0" w:space="0" w:color="auto"/>
                        <w:right w:val="none" w:sz="0" w:space="0" w:color="auto"/>
                      </w:divBdr>
                    </w:div>
                    <w:div w:id="2071030780">
                      <w:marLeft w:val="0"/>
                      <w:marRight w:val="0"/>
                      <w:marTop w:val="0"/>
                      <w:marBottom w:val="0"/>
                      <w:divBdr>
                        <w:top w:val="none" w:sz="0" w:space="0" w:color="auto"/>
                        <w:left w:val="none" w:sz="0" w:space="0" w:color="auto"/>
                        <w:bottom w:val="none" w:sz="0" w:space="0" w:color="auto"/>
                        <w:right w:val="none" w:sz="0" w:space="0" w:color="auto"/>
                      </w:divBdr>
                    </w:div>
                  </w:divsChild>
                </w:div>
                <w:div w:id="1121070224">
                  <w:marLeft w:val="0"/>
                  <w:marRight w:val="0"/>
                  <w:marTop w:val="0"/>
                  <w:marBottom w:val="0"/>
                  <w:divBdr>
                    <w:top w:val="none" w:sz="0" w:space="0" w:color="auto"/>
                    <w:left w:val="none" w:sz="0" w:space="0" w:color="auto"/>
                    <w:bottom w:val="none" w:sz="0" w:space="0" w:color="auto"/>
                    <w:right w:val="none" w:sz="0" w:space="0" w:color="auto"/>
                  </w:divBdr>
                  <w:divsChild>
                    <w:div w:id="1565606024">
                      <w:marLeft w:val="0"/>
                      <w:marRight w:val="0"/>
                      <w:marTop w:val="0"/>
                      <w:marBottom w:val="0"/>
                      <w:divBdr>
                        <w:top w:val="none" w:sz="0" w:space="0" w:color="auto"/>
                        <w:left w:val="none" w:sz="0" w:space="0" w:color="auto"/>
                        <w:bottom w:val="none" w:sz="0" w:space="0" w:color="auto"/>
                        <w:right w:val="none" w:sz="0" w:space="0" w:color="auto"/>
                      </w:divBdr>
                    </w:div>
                  </w:divsChild>
                </w:div>
                <w:div w:id="1227957988">
                  <w:marLeft w:val="0"/>
                  <w:marRight w:val="0"/>
                  <w:marTop w:val="0"/>
                  <w:marBottom w:val="0"/>
                  <w:divBdr>
                    <w:top w:val="none" w:sz="0" w:space="0" w:color="auto"/>
                    <w:left w:val="none" w:sz="0" w:space="0" w:color="auto"/>
                    <w:bottom w:val="none" w:sz="0" w:space="0" w:color="auto"/>
                    <w:right w:val="none" w:sz="0" w:space="0" w:color="auto"/>
                  </w:divBdr>
                  <w:divsChild>
                    <w:div w:id="909657531">
                      <w:marLeft w:val="0"/>
                      <w:marRight w:val="0"/>
                      <w:marTop w:val="0"/>
                      <w:marBottom w:val="0"/>
                      <w:divBdr>
                        <w:top w:val="none" w:sz="0" w:space="0" w:color="auto"/>
                        <w:left w:val="none" w:sz="0" w:space="0" w:color="auto"/>
                        <w:bottom w:val="none" w:sz="0" w:space="0" w:color="auto"/>
                        <w:right w:val="none" w:sz="0" w:space="0" w:color="auto"/>
                      </w:divBdr>
                    </w:div>
                    <w:div w:id="922766392">
                      <w:marLeft w:val="0"/>
                      <w:marRight w:val="0"/>
                      <w:marTop w:val="0"/>
                      <w:marBottom w:val="0"/>
                      <w:divBdr>
                        <w:top w:val="none" w:sz="0" w:space="0" w:color="auto"/>
                        <w:left w:val="none" w:sz="0" w:space="0" w:color="auto"/>
                        <w:bottom w:val="none" w:sz="0" w:space="0" w:color="auto"/>
                        <w:right w:val="none" w:sz="0" w:space="0" w:color="auto"/>
                      </w:divBdr>
                    </w:div>
                    <w:div w:id="1096246279">
                      <w:marLeft w:val="0"/>
                      <w:marRight w:val="0"/>
                      <w:marTop w:val="0"/>
                      <w:marBottom w:val="0"/>
                      <w:divBdr>
                        <w:top w:val="none" w:sz="0" w:space="0" w:color="auto"/>
                        <w:left w:val="none" w:sz="0" w:space="0" w:color="auto"/>
                        <w:bottom w:val="none" w:sz="0" w:space="0" w:color="auto"/>
                        <w:right w:val="none" w:sz="0" w:space="0" w:color="auto"/>
                      </w:divBdr>
                    </w:div>
                    <w:div w:id="1186871779">
                      <w:marLeft w:val="0"/>
                      <w:marRight w:val="0"/>
                      <w:marTop w:val="0"/>
                      <w:marBottom w:val="0"/>
                      <w:divBdr>
                        <w:top w:val="none" w:sz="0" w:space="0" w:color="auto"/>
                        <w:left w:val="none" w:sz="0" w:space="0" w:color="auto"/>
                        <w:bottom w:val="none" w:sz="0" w:space="0" w:color="auto"/>
                        <w:right w:val="none" w:sz="0" w:space="0" w:color="auto"/>
                      </w:divBdr>
                    </w:div>
                  </w:divsChild>
                </w:div>
                <w:div w:id="1229417854">
                  <w:marLeft w:val="0"/>
                  <w:marRight w:val="0"/>
                  <w:marTop w:val="0"/>
                  <w:marBottom w:val="0"/>
                  <w:divBdr>
                    <w:top w:val="none" w:sz="0" w:space="0" w:color="auto"/>
                    <w:left w:val="none" w:sz="0" w:space="0" w:color="auto"/>
                    <w:bottom w:val="none" w:sz="0" w:space="0" w:color="auto"/>
                    <w:right w:val="none" w:sz="0" w:space="0" w:color="auto"/>
                  </w:divBdr>
                  <w:divsChild>
                    <w:div w:id="648242094">
                      <w:marLeft w:val="0"/>
                      <w:marRight w:val="0"/>
                      <w:marTop w:val="0"/>
                      <w:marBottom w:val="0"/>
                      <w:divBdr>
                        <w:top w:val="none" w:sz="0" w:space="0" w:color="auto"/>
                        <w:left w:val="none" w:sz="0" w:space="0" w:color="auto"/>
                        <w:bottom w:val="none" w:sz="0" w:space="0" w:color="auto"/>
                        <w:right w:val="none" w:sz="0" w:space="0" w:color="auto"/>
                      </w:divBdr>
                    </w:div>
                    <w:div w:id="1241252025">
                      <w:marLeft w:val="0"/>
                      <w:marRight w:val="0"/>
                      <w:marTop w:val="0"/>
                      <w:marBottom w:val="0"/>
                      <w:divBdr>
                        <w:top w:val="none" w:sz="0" w:space="0" w:color="auto"/>
                        <w:left w:val="none" w:sz="0" w:space="0" w:color="auto"/>
                        <w:bottom w:val="none" w:sz="0" w:space="0" w:color="auto"/>
                        <w:right w:val="none" w:sz="0" w:space="0" w:color="auto"/>
                      </w:divBdr>
                    </w:div>
                  </w:divsChild>
                </w:div>
                <w:div w:id="1347252965">
                  <w:marLeft w:val="0"/>
                  <w:marRight w:val="0"/>
                  <w:marTop w:val="0"/>
                  <w:marBottom w:val="0"/>
                  <w:divBdr>
                    <w:top w:val="none" w:sz="0" w:space="0" w:color="auto"/>
                    <w:left w:val="none" w:sz="0" w:space="0" w:color="auto"/>
                    <w:bottom w:val="none" w:sz="0" w:space="0" w:color="auto"/>
                    <w:right w:val="none" w:sz="0" w:space="0" w:color="auto"/>
                  </w:divBdr>
                  <w:divsChild>
                    <w:div w:id="833186496">
                      <w:marLeft w:val="0"/>
                      <w:marRight w:val="0"/>
                      <w:marTop w:val="0"/>
                      <w:marBottom w:val="0"/>
                      <w:divBdr>
                        <w:top w:val="none" w:sz="0" w:space="0" w:color="auto"/>
                        <w:left w:val="none" w:sz="0" w:space="0" w:color="auto"/>
                        <w:bottom w:val="none" w:sz="0" w:space="0" w:color="auto"/>
                        <w:right w:val="none" w:sz="0" w:space="0" w:color="auto"/>
                      </w:divBdr>
                    </w:div>
                    <w:div w:id="1015880584">
                      <w:marLeft w:val="0"/>
                      <w:marRight w:val="0"/>
                      <w:marTop w:val="0"/>
                      <w:marBottom w:val="0"/>
                      <w:divBdr>
                        <w:top w:val="none" w:sz="0" w:space="0" w:color="auto"/>
                        <w:left w:val="none" w:sz="0" w:space="0" w:color="auto"/>
                        <w:bottom w:val="none" w:sz="0" w:space="0" w:color="auto"/>
                        <w:right w:val="none" w:sz="0" w:space="0" w:color="auto"/>
                      </w:divBdr>
                    </w:div>
                  </w:divsChild>
                </w:div>
                <w:div w:id="1429885226">
                  <w:marLeft w:val="0"/>
                  <w:marRight w:val="0"/>
                  <w:marTop w:val="0"/>
                  <w:marBottom w:val="0"/>
                  <w:divBdr>
                    <w:top w:val="none" w:sz="0" w:space="0" w:color="auto"/>
                    <w:left w:val="none" w:sz="0" w:space="0" w:color="auto"/>
                    <w:bottom w:val="none" w:sz="0" w:space="0" w:color="auto"/>
                    <w:right w:val="none" w:sz="0" w:space="0" w:color="auto"/>
                  </w:divBdr>
                  <w:divsChild>
                    <w:div w:id="1336497070">
                      <w:marLeft w:val="0"/>
                      <w:marRight w:val="0"/>
                      <w:marTop w:val="0"/>
                      <w:marBottom w:val="0"/>
                      <w:divBdr>
                        <w:top w:val="none" w:sz="0" w:space="0" w:color="auto"/>
                        <w:left w:val="none" w:sz="0" w:space="0" w:color="auto"/>
                        <w:bottom w:val="none" w:sz="0" w:space="0" w:color="auto"/>
                        <w:right w:val="none" w:sz="0" w:space="0" w:color="auto"/>
                      </w:divBdr>
                    </w:div>
                  </w:divsChild>
                </w:div>
                <w:div w:id="1545754315">
                  <w:marLeft w:val="0"/>
                  <w:marRight w:val="0"/>
                  <w:marTop w:val="0"/>
                  <w:marBottom w:val="0"/>
                  <w:divBdr>
                    <w:top w:val="none" w:sz="0" w:space="0" w:color="auto"/>
                    <w:left w:val="none" w:sz="0" w:space="0" w:color="auto"/>
                    <w:bottom w:val="none" w:sz="0" w:space="0" w:color="auto"/>
                    <w:right w:val="none" w:sz="0" w:space="0" w:color="auto"/>
                  </w:divBdr>
                  <w:divsChild>
                    <w:div w:id="449859935">
                      <w:marLeft w:val="0"/>
                      <w:marRight w:val="0"/>
                      <w:marTop w:val="0"/>
                      <w:marBottom w:val="0"/>
                      <w:divBdr>
                        <w:top w:val="none" w:sz="0" w:space="0" w:color="auto"/>
                        <w:left w:val="none" w:sz="0" w:space="0" w:color="auto"/>
                        <w:bottom w:val="none" w:sz="0" w:space="0" w:color="auto"/>
                        <w:right w:val="none" w:sz="0" w:space="0" w:color="auto"/>
                      </w:divBdr>
                    </w:div>
                  </w:divsChild>
                </w:div>
                <w:div w:id="1593469785">
                  <w:marLeft w:val="0"/>
                  <w:marRight w:val="0"/>
                  <w:marTop w:val="0"/>
                  <w:marBottom w:val="0"/>
                  <w:divBdr>
                    <w:top w:val="none" w:sz="0" w:space="0" w:color="auto"/>
                    <w:left w:val="none" w:sz="0" w:space="0" w:color="auto"/>
                    <w:bottom w:val="none" w:sz="0" w:space="0" w:color="auto"/>
                    <w:right w:val="none" w:sz="0" w:space="0" w:color="auto"/>
                  </w:divBdr>
                  <w:divsChild>
                    <w:div w:id="773786530">
                      <w:marLeft w:val="0"/>
                      <w:marRight w:val="0"/>
                      <w:marTop w:val="0"/>
                      <w:marBottom w:val="0"/>
                      <w:divBdr>
                        <w:top w:val="none" w:sz="0" w:space="0" w:color="auto"/>
                        <w:left w:val="none" w:sz="0" w:space="0" w:color="auto"/>
                        <w:bottom w:val="none" w:sz="0" w:space="0" w:color="auto"/>
                        <w:right w:val="none" w:sz="0" w:space="0" w:color="auto"/>
                      </w:divBdr>
                    </w:div>
                  </w:divsChild>
                </w:div>
                <w:div w:id="1717923195">
                  <w:marLeft w:val="0"/>
                  <w:marRight w:val="0"/>
                  <w:marTop w:val="0"/>
                  <w:marBottom w:val="0"/>
                  <w:divBdr>
                    <w:top w:val="none" w:sz="0" w:space="0" w:color="auto"/>
                    <w:left w:val="none" w:sz="0" w:space="0" w:color="auto"/>
                    <w:bottom w:val="none" w:sz="0" w:space="0" w:color="auto"/>
                    <w:right w:val="none" w:sz="0" w:space="0" w:color="auto"/>
                  </w:divBdr>
                  <w:divsChild>
                    <w:div w:id="454253140">
                      <w:marLeft w:val="0"/>
                      <w:marRight w:val="0"/>
                      <w:marTop w:val="0"/>
                      <w:marBottom w:val="0"/>
                      <w:divBdr>
                        <w:top w:val="none" w:sz="0" w:space="0" w:color="auto"/>
                        <w:left w:val="none" w:sz="0" w:space="0" w:color="auto"/>
                        <w:bottom w:val="none" w:sz="0" w:space="0" w:color="auto"/>
                        <w:right w:val="none" w:sz="0" w:space="0" w:color="auto"/>
                      </w:divBdr>
                    </w:div>
                  </w:divsChild>
                </w:div>
                <w:div w:id="1836411112">
                  <w:marLeft w:val="0"/>
                  <w:marRight w:val="0"/>
                  <w:marTop w:val="0"/>
                  <w:marBottom w:val="0"/>
                  <w:divBdr>
                    <w:top w:val="none" w:sz="0" w:space="0" w:color="auto"/>
                    <w:left w:val="none" w:sz="0" w:space="0" w:color="auto"/>
                    <w:bottom w:val="none" w:sz="0" w:space="0" w:color="auto"/>
                    <w:right w:val="none" w:sz="0" w:space="0" w:color="auto"/>
                  </w:divBdr>
                  <w:divsChild>
                    <w:div w:id="19474599">
                      <w:marLeft w:val="0"/>
                      <w:marRight w:val="0"/>
                      <w:marTop w:val="0"/>
                      <w:marBottom w:val="0"/>
                      <w:divBdr>
                        <w:top w:val="none" w:sz="0" w:space="0" w:color="auto"/>
                        <w:left w:val="none" w:sz="0" w:space="0" w:color="auto"/>
                        <w:bottom w:val="none" w:sz="0" w:space="0" w:color="auto"/>
                        <w:right w:val="none" w:sz="0" w:space="0" w:color="auto"/>
                      </w:divBdr>
                    </w:div>
                    <w:div w:id="751508807">
                      <w:marLeft w:val="0"/>
                      <w:marRight w:val="0"/>
                      <w:marTop w:val="0"/>
                      <w:marBottom w:val="0"/>
                      <w:divBdr>
                        <w:top w:val="none" w:sz="0" w:space="0" w:color="auto"/>
                        <w:left w:val="none" w:sz="0" w:space="0" w:color="auto"/>
                        <w:bottom w:val="none" w:sz="0" w:space="0" w:color="auto"/>
                        <w:right w:val="none" w:sz="0" w:space="0" w:color="auto"/>
                      </w:divBdr>
                    </w:div>
                    <w:div w:id="1177158482">
                      <w:marLeft w:val="0"/>
                      <w:marRight w:val="0"/>
                      <w:marTop w:val="0"/>
                      <w:marBottom w:val="0"/>
                      <w:divBdr>
                        <w:top w:val="none" w:sz="0" w:space="0" w:color="auto"/>
                        <w:left w:val="none" w:sz="0" w:space="0" w:color="auto"/>
                        <w:bottom w:val="none" w:sz="0" w:space="0" w:color="auto"/>
                        <w:right w:val="none" w:sz="0" w:space="0" w:color="auto"/>
                      </w:divBdr>
                    </w:div>
                    <w:div w:id="1703626041">
                      <w:marLeft w:val="0"/>
                      <w:marRight w:val="0"/>
                      <w:marTop w:val="0"/>
                      <w:marBottom w:val="0"/>
                      <w:divBdr>
                        <w:top w:val="none" w:sz="0" w:space="0" w:color="auto"/>
                        <w:left w:val="none" w:sz="0" w:space="0" w:color="auto"/>
                        <w:bottom w:val="none" w:sz="0" w:space="0" w:color="auto"/>
                        <w:right w:val="none" w:sz="0" w:space="0" w:color="auto"/>
                      </w:divBdr>
                    </w:div>
                  </w:divsChild>
                </w:div>
                <w:div w:id="1882132900">
                  <w:marLeft w:val="0"/>
                  <w:marRight w:val="0"/>
                  <w:marTop w:val="0"/>
                  <w:marBottom w:val="0"/>
                  <w:divBdr>
                    <w:top w:val="none" w:sz="0" w:space="0" w:color="auto"/>
                    <w:left w:val="none" w:sz="0" w:space="0" w:color="auto"/>
                    <w:bottom w:val="none" w:sz="0" w:space="0" w:color="auto"/>
                    <w:right w:val="none" w:sz="0" w:space="0" w:color="auto"/>
                  </w:divBdr>
                  <w:divsChild>
                    <w:div w:id="1372848831">
                      <w:marLeft w:val="0"/>
                      <w:marRight w:val="0"/>
                      <w:marTop w:val="0"/>
                      <w:marBottom w:val="0"/>
                      <w:divBdr>
                        <w:top w:val="none" w:sz="0" w:space="0" w:color="auto"/>
                        <w:left w:val="none" w:sz="0" w:space="0" w:color="auto"/>
                        <w:bottom w:val="none" w:sz="0" w:space="0" w:color="auto"/>
                        <w:right w:val="none" w:sz="0" w:space="0" w:color="auto"/>
                      </w:divBdr>
                    </w:div>
                  </w:divsChild>
                </w:div>
                <w:div w:id="1989744071">
                  <w:marLeft w:val="0"/>
                  <w:marRight w:val="0"/>
                  <w:marTop w:val="0"/>
                  <w:marBottom w:val="0"/>
                  <w:divBdr>
                    <w:top w:val="none" w:sz="0" w:space="0" w:color="auto"/>
                    <w:left w:val="none" w:sz="0" w:space="0" w:color="auto"/>
                    <w:bottom w:val="none" w:sz="0" w:space="0" w:color="auto"/>
                    <w:right w:val="none" w:sz="0" w:space="0" w:color="auto"/>
                  </w:divBdr>
                  <w:divsChild>
                    <w:div w:id="15079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07907">
      <w:bodyDiv w:val="1"/>
      <w:marLeft w:val="0"/>
      <w:marRight w:val="0"/>
      <w:marTop w:val="0"/>
      <w:marBottom w:val="0"/>
      <w:divBdr>
        <w:top w:val="none" w:sz="0" w:space="0" w:color="auto"/>
        <w:left w:val="none" w:sz="0" w:space="0" w:color="auto"/>
        <w:bottom w:val="none" w:sz="0" w:space="0" w:color="auto"/>
        <w:right w:val="none" w:sz="0" w:space="0" w:color="auto"/>
      </w:divBdr>
    </w:div>
    <w:div w:id="1572546564">
      <w:bodyDiv w:val="1"/>
      <w:marLeft w:val="0"/>
      <w:marRight w:val="0"/>
      <w:marTop w:val="0"/>
      <w:marBottom w:val="0"/>
      <w:divBdr>
        <w:top w:val="none" w:sz="0" w:space="0" w:color="auto"/>
        <w:left w:val="none" w:sz="0" w:space="0" w:color="auto"/>
        <w:bottom w:val="none" w:sz="0" w:space="0" w:color="auto"/>
        <w:right w:val="none" w:sz="0" w:space="0" w:color="auto"/>
      </w:divBdr>
    </w:div>
    <w:div w:id="1596404169">
      <w:bodyDiv w:val="1"/>
      <w:marLeft w:val="0"/>
      <w:marRight w:val="0"/>
      <w:marTop w:val="0"/>
      <w:marBottom w:val="0"/>
      <w:divBdr>
        <w:top w:val="none" w:sz="0" w:space="0" w:color="auto"/>
        <w:left w:val="none" w:sz="0" w:space="0" w:color="auto"/>
        <w:bottom w:val="none" w:sz="0" w:space="0" w:color="auto"/>
        <w:right w:val="none" w:sz="0" w:space="0" w:color="auto"/>
      </w:divBdr>
    </w:div>
    <w:div w:id="1730961059">
      <w:bodyDiv w:val="1"/>
      <w:marLeft w:val="0"/>
      <w:marRight w:val="0"/>
      <w:marTop w:val="0"/>
      <w:marBottom w:val="0"/>
      <w:divBdr>
        <w:top w:val="none" w:sz="0" w:space="0" w:color="auto"/>
        <w:left w:val="none" w:sz="0" w:space="0" w:color="auto"/>
        <w:bottom w:val="none" w:sz="0" w:space="0" w:color="auto"/>
        <w:right w:val="none" w:sz="0" w:space="0" w:color="auto"/>
      </w:divBdr>
      <w:divsChild>
        <w:div w:id="1858617117">
          <w:marLeft w:val="450"/>
          <w:marRight w:val="0"/>
          <w:marTop w:val="0"/>
          <w:marBottom w:val="0"/>
          <w:divBdr>
            <w:top w:val="none" w:sz="0" w:space="0" w:color="auto"/>
            <w:left w:val="none" w:sz="0" w:space="0" w:color="auto"/>
            <w:bottom w:val="none" w:sz="0" w:space="0" w:color="auto"/>
            <w:right w:val="none" w:sz="0" w:space="0" w:color="auto"/>
          </w:divBdr>
        </w:div>
      </w:divsChild>
    </w:div>
    <w:div w:id="1740785022">
      <w:bodyDiv w:val="1"/>
      <w:marLeft w:val="0"/>
      <w:marRight w:val="0"/>
      <w:marTop w:val="0"/>
      <w:marBottom w:val="0"/>
      <w:divBdr>
        <w:top w:val="none" w:sz="0" w:space="0" w:color="auto"/>
        <w:left w:val="none" w:sz="0" w:space="0" w:color="auto"/>
        <w:bottom w:val="none" w:sz="0" w:space="0" w:color="auto"/>
        <w:right w:val="none" w:sz="0" w:space="0" w:color="auto"/>
      </w:divBdr>
    </w:div>
    <w:div w:id="1776291764">
      <w:bodyDiv w:val="1"/>
      <w:marLeft w:val="0"/>
      <w:marRight w:val="0"/>
      <w:marTop w:val="0"/>
      <w:marBottom w:val="0"/>
      <w:divBdr>
        <w:top w:val="none" w:sz="0" w:space="0" w:color="auto"/>
        <w:left w:val="none" w:sz="0" w:space="0" w:color="auto"/>
        <w:bottom w:val="none" w:sz="0" w:space="0" w:color="auto"/>
        <w:right w:val="none" w:sz="0" w:space="0" w:color="auto"/>
      </w:divBdr>
    </w:div>
    <w:div w:id="1805154415">
      <w:bodyDiv w:val="1"/>
      <w:marLeft w:val="0"/>
      <w:marRight w:val="0"/>
      <w:marTop w:val="0"/>
      <w:marBottom w:val="0"/>
      <w:divBdr>
        <w:top w:val="none" w:sz="0" w:space="0" w:color="auto"/>
        <w:left w:val="none" w:sz="0" w:space="0" w:color="auto"/>
        <w:bottom w:val="none" w:sz="0" w:space="0" w:color="auto"/>
        <w:right w:val="none" w:sz="0" w:space="0" w:color="auto"/>
      </w:divBdr>
      <w:divsChild>
        <w:div w:id="1830242132">
          <w:marLeft w:val="450"/>
          <w:marRight w:val="0"/>
          <w:marTop w:val="0"/>
          <w:marBottom w:val="0"/>
          <w:divBdr>
            <w:top w:val="none" w:sz="0" w:space="0" w:color="auto"/>
            <w:left w:val="none" w:sz="0" w:space="0" w:color="auto"/>
            <w:bottom w:val="none" w:sz="0" w:space="0" w:color="auto"/>
            <w:right w:val="none" w:sz="0" w:space="0" w:color="auto"/>
          </w:divBdr>
        </w:div>
      </w:divsChild>
    </w:div>
    <w:div w:id="1829057349">
      <w:bodyDiv w:val="1"/>
      <w:marLeft w:val="0"/>
      <w:marRight w:val="0"/>
      <w:marTop w:val="0"/>
      <w:marBottom w:val="0"/>
      <w:divBdr>
        <w:top w:val="none" w:sz="0" w:space="0" w:color="auto"/>
        <w:left w:val="none" w:sz="0" w:space="0" w:color="auto"/>
        <w:bottom w:val="none" w:sz="0" w:space="0" w:color="auto"/>
        <w:right w:val="none" w:sz="0" w:space="0" w:color="auto"/>
      </w:divBdr>
    </w:div>
    <w:div w:id="1836844109">
      <w:bodyDiv w:val="1"/>
      <w:marLeft w:val="0"/>
      <w:marRight w:val="0"/>
      <w:marTop w:val="0"/>
      <w:marBottom w:val="0"/>
      <w:divBdr>
        <w:top w:val="none" w:sz="0" w:space="0" w:color="auto"/>
        <w:left w:val="none" w:sz="0" w:space="0" w:color="auto"/>
        <w:bottom w:val="none" w:sz="0" w:space="0" w:color="auto"/>
        <w:right w:val="none" w:sz="0" w:space="0" w:color="auto"/>
      </w:divBdr>
    </w:div>
    <w:div w:id="1853758030">
      <w:bodyDiv w:val="1"/>
      <w:marLeft w:val="0"/>
      <w:marRight w:val="0"/>
      <w:marTop w:val="0"/>
      <w:marBottom w:val="0"/>
      <w:divBdr>
        <w:top w:val="none" w:sz="0" w:space="0" w:color="auto"/>
        <w:left w:val="none" w:sz="0" w:space="0" w:color="auto"/>
        <w:bottom w:val="none" w:sz="0" w:space="0" w:color="auto"/>
        <w:right w:val="none" w:sz="0" w:space="0" w:color="auto"/>
      </w:divBdr>
    </w:div>
    <w:div w:id="1854028950">
      <w:bodyDiv w:val="1"/>
      <w:marLeft w:val="0"/>
      <w:marRight w:val="0"/>
      <w:marTop w:val="0"/>
      <w:marBottom w:val="0"/>
      <w:divBdr>
        <w:top w:val="none" w:sz="0" w:space="0" w:color="auto"/>
        <w:left w:val="none" w:sz="0" w:space="0" w:color="auto"/>
        <w:bottom w:val="none" w:sz="0" w:space="0" w:color="auto"/>
        <w:right w:val="none" w:sz="0" w:space="0" w:color="auto"/>
      </w:divBdr>
      <w:divsChild>
        <w:div w:id="1899122159">
          <w:marLeft w:val="450"/>
          <w:marRight w:val="0"/>
          <w:marTop w:val="0"/>
          <w:marBottom w:val="0"/>
          <w:divBdr>
            <w:top w:val="none" w:sz="0" w:space="0" w:color="auto"/>
            <w:left w:val="none" w:sz="0" w:space="0" w:color="auto"/>
            <w:bottom w:val="none" w:sz="0" w:space="0" w:color="auto"/>
            <w:right w:val="none" w:sz="0" w:space="0" w:color="auto"/>
          </w:divBdr>
        </w:div>
      </w:divsChild>
    </w:div>
    <w:div w:id="1879316297">
      <w:bodyDiv w:val="1"/>
      <w:marLeft w:val="0"/>
      <w:marRight w:val="0"/>
      <w:marTop w:val="0"/>
      <w:marBottom w:val="0"/>
      <w:divBdr>
        <w:top w:val="none" w:sz="0" w:space="0" w:color="auto"/>
        <w:left w:val="none" w:sz="0" w:space="0" w:color="auto"/>
        <w:bottom w:val="none" w:sz="0" w:space="0" w:color="auto"/>
        <w:right w:val="none" w:sz="0" w:space="0" w:color="auto"/>
      </w:divBdr>
      <w:divsChild>
        <w:div w:id="524558248">
          <w:marLeft w:val="450"/>
          <w:marRight w:val="0"/>
          <w:marTop w:val="0"/>
          <w:marBottom w:val="0"/>
          <w:divBdr>
            <w:top w:val="none" w:sz="0" w:space="0" w:color="auto"/>
            <w:left w:val="none" w:sz="0" w:space="0" w:color="auto"/>
            <w:bottom w:val="none" w:sz="0" w:space="0" w:color="auto"/>
            <w:right w:val="none" w:sz="0" w:space="0" w:color="auto"/>
          </w:divBdr>
        </w:div>
      </w:divsChild>
    </w:div>
    <w:div w:id="1880626764">
      <w:bodyDiv w:val="1"/>
      <w:marLeft w:val="0"/>
      <w:marRight w:val="0"/>
      <w:marTop w:val="0"/>
      <w:marBottom w:val="0"/>
      <w:divBdr>
        <w:top w:val="none" w:sz="0" w:space="0" w:color="auto"/>
        <w:left w:val="none" w:sz="0" w:space="0" w:color="auto"/>
        <w:bottom w:val="none" w:sz="0" w:space="0" w:color="auto"/>
        <w:right w:val="none" w:sz="0" w:space="0" w:color="auto"/>
      </w:divBdr>
    </w:div>
    <w:div w:id="1882092043">
      <w:bodyDiv w:val="1"/>
      <w:marLeft w:val="0"/>
      <w:marRight w:val="0"/>
      <w:marTop w:val="0"/>
      <w:marBottom w:val="0"/>
      <w:divBdr>
        <w:top w:val="none" w:sz="0" w:space="0" w:color="auto"/>
        <w:left w:val="none" w:sz="0" w:space="0" w:color="auto"/>
        <w:bottom w:val="none" w:sz="0" w:space="0" w:color="auto"/>
        <w:right w:val="none" w:sz="0" w:space="0" w:color="auto"/>
      </w:divBdr>
    </w:div>
    <w:div w:id="1883711346">
      <w:bodyDiv w:val="1"/>
      <w:marLeft w:val="0"/>
      <w:marRight w:val="0"/>
      <w:marTop w:val="0"/>
      <w:marBottom w:val="0"/>
      <w:divBdr>
        <w:top w:val="none" w:sz="0" w:space="0" w:color="auto"/>
        <w:left w:val="none" w:sz="0" w:space="0" w:color="auto"/>
        <w:bottom w:val="none" w:sz="0" w:space="0" w:color="auto"/>
        <w:right w:val="none" w:sz="0" w:space="0" w:color="auto"/>
      </w:divBdr>
    </w:div>
    <w:div w:id="1895385818">
      <w:bodyDiv w:val="1"/>
      <w:marLeft w:val="0"/>
      <w:marRight w:val="0"/>
      <w:marTop w:val="0"/>
      <w:marBottom w:val="0"/>
      <w:divBdr>
        <w:top w:val="none" w:sz="0" w:space="0" w:color="auto"/>
        <w:left w:val="none" w:sz="0" w:space="0" w:color="auto"/>
        <w:bottom w:val="none" w:sz="0" w:space="0" w:color="auto"/>
        <w:right w:val="none" w:sz="0" w:space="0" w:color="auto"/>
      </w:divBdr>
    </w:div>
    <w:div w:id="1905021534">
      <w:bodyDiv w:val="1"/>
      <w:marLeft w:val="0"/>
      <w:marRight w:val="0"/>
      <w:marTop w:val="0"/>
      <w:marBottom w:val="0"/>
      <w:divBdr>
        <w:top w:val="none" w:sz="0" w:space="0" w:color="auto"/>
        <w:left w:val="none" w:sz="0" w:space="0" w:color="auto"/>
        <w:bottom w:val="none" w:sz="0" w:space="0" w:color="auto"/>
        <w:right w:val="none" w:sz="0" w:space="0" w:color="auto"/>
      </w:divBdr>
    </w:div>
    <w:div w:id="1944848242">
      <w:bodyDiv w:val="1"/>
      <w:marLeft w:val="0"/>
      <w:marRight w:val="0"/>
      <w:marTop w:val="0"/>
      <w:marBottom w:val="0"/>
      <w:divBdr>
        <w:top w:val="none" w:sz="0" w:space="0" w:color="auto"/>
        <w:left w:val="none" w:sz="0" w:space="0" w:color="auto"/>
        <w:bottom w:val="none" w:sz="0" w:space="0" w:color="auto"/>
        <w:right w:val="none" w:sz="0" w:space="0" w:color="auto"/>
      </w:divBdr>
      <w:divsChild>
        <w:div w:id="1250770144">
          <w:marLeft w:val="450"/>
          <w:marRight w:val="0"/>
          <w:marTop w:val="0"/>
          <w:marBottom w:val="0"/>
          <w:divBdr>
            <w:top w:val="none" w:sz="0" w:space="0" w:color="auto"/>
            <w:left w:val="none" w:sz="0" w:space="0" w:color="auto"/>
            <w:bottom w:val="none" w:sz="0" w:space="0" w:color="auto"/>
            <w:right w:val="none" w:sz="0" w:space="0" w:color="auto"/>
          </w:divBdr>
        </w:div>
      </w:divsChild>
    </w:div>
    <w:div w:id="1967007523">
      <w:bodyDiv w:val="1"/>
      <w:marLeft w:val="0"/>
      <w:marRight w:val="0"/>
      <w:marTop w:val="0"/>
      <w:marBottom w:val="0"/>
      <w:divBdr>
        <w:top w:val="none" w:sz="0" w:space="0" w:color="auto"/>
        <w:left w:val="none" w:sz="0" w:space="0" w:color="auto"/>
        <w:bottom w:val="none" w:sz="0" w:space="0" w:color="auto"/>
        <w:right w:val="none" w:sz="0" w:space="0" w:color="auto"/>
      </w:divBdr>
    </w:div>
    <w:div w:id="1992753449">
      <w:bodyDiv w:val="1"/>
      <w:marLeft w:val="0"/>
      <w:marRight w:val="0"/>
      <w:marTop w:val="0"/>
      <w:marBottom w:val="0"/>
      <w:divBdr>
        <w:top w:val="none" w:sz="0" w:space="0" w:color="auto"/>
        <w:left w:val="none" w:sz="0" w:space="0" w:color="auto"/>
        <w:bottom w:val="none" w:sz="0" w:space="0" w:color="auto"/>
        <w:right w:val="none" w:sz="0" w:space="0" w:color="auto"/>
      </w:divBdr>
    </w:div>
    <w:div w:id="1994217516">
      <w:bodyDiv w:val="1"/>
      <w:marLeft w:val="0"/>
      <w:marRight w:val="0"/>
      <w:marTop w:val="0"/>
      <w:marBottom w:val="0"/>
      <w:divBdr>
        <w:top w:val="none" w:sz="0" w:space="0" w:color="auto"/>
        <w:left w:val="none" w:sz="0" w:space="0" w:color="auto"/>
        <w:bottom w:val="none" w:sz="0" w:space="0" w:color="auto"/>
        <w:right w:val="none" w:sz="0" w:space="0" w:color="auto"/>
      </w:divBdr>
      <w:divsChild>
        <w:div w:id="859512897">
          <w:marLeft w:val="450"/>
          <w:marRight w:val="0"/>
          <w:marTop w:val="0"/>
          <w:marBottom w:val="0"/>
          <w:divBdr>
            <w:top w:val="none" w:sz="0" w:space="0" w:color="auto"/>
            <w:left w:val="none" w:sz="0" w:space="0" w:color="auto"/>
            <w:bottom w:val="none" w:sz="0" w:space="0" w:color="auto"/>
            <w:right w:val="none" w:sz="0" w:space="0" w:color="auto"/>
          </w:divBdr>
        </w:div>
      </w:divsChild>
    </w:div>
    <w:div w:id="2016496233">
      <w:bodyDiv w:val="1"/>
      <w:marLeft w:val="0"/>
      <w:marRight w:val="0"/>
      <w:marTop w:val="0"/>
      <w:marBottom w:val="0"/>
      <w:divBdr>
        <w:top w:val="none" w:sz="0" w:space="0" w:color="auto"/>
        <w:left w:val="none" w:sz="0" w:space="0" w:color="auto"/>
        <w:bottom w:val="none" w:sz="0" w:space="0" w:color="auto"/>
        <w:right w:val="none" w:sz="0" w:space="0" w:color="auto"/>
      </w:divBdr>
    </w:div>
    <w:div w:id="2105493972">
      <w:bodyDiv w:val="1"/>
      <w:marLeft w:val="0"/>
      <w:marRight w:val="0"/>
      <w:marTop w:val="0"/>
      <w:marBottom w:val="0"/>
      <w:divBdr>
        <w:top w:val="none" w:sz="0" w:space="0" w:color="auto"/>
        <w:left w:val="none" w:sz="0" w:space="0" w:color="auto"/>
        <w:bottom w:val="none" w:sz="0" w:space="0" w:color="auto"/>
        <w:right w:val="none" w:sz="0" w:space="0" w:color="auto"/>
      </w:divBdr>
      <w:divsChild>
        <w:div w:id="412048991">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westernpowerpool.org/comments/change_requests/19/"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hyperlink" Target="mailto:stefan.cristea@pg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westernpowerpool.org/comments/change_requests/western-resource-adequacy-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690AF60121CF4CAE73D966E2D9F67D" ma:contentTypeVersion="17" ma:contentTypeDescription="Create a new document." ma:contentTypeScope="" ma:versionID="cb1d61dc3d4e787696575bd7607777c8">
  <xsd:schema xmlns:xsd="http://www.w3.org/2001/XMLSchema" xmlns:xs="http://www.w3.org/2001/XMLSchema" xmlns:p="http://schemas.microsoft.com/office/2006/metadata/properties" xmlns:ns2="1ea7d379-df84-40f7-8d06-374b7b13cb98" xmlns:ns3="e5cddba6-378a-4677-98d9-f25f99898a99" targetNamespace="http://schemas.microsoft.com/office/2006/metadata/properties" ma:root="true" ma:fieldsID="2790b9c2fa4926f380672847c6de1a6e" ns2:_="" ns3:_="">
    <xsd:import namespace="1ea7d379-df84-40f7-8d06-374b7b13cb98"/>
    <xsd:import namespace="e5cddba6-378a-4677-98d9-f25f99898a9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7d379-df84-40f7-8d06-374b7b13cb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a8e9862-b5e3-4281-859d-82fca11a964c}" ma:internalName="TaxCatchAll" ma:showField="CatchAllData" ma:web="1ea7d379-df84-40f7-8d06-374b7b13cb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cddba6-378a-4677-98d9-f25f99898a9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0352913-d385-4540-b196-addd5576931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cddba6-378a-4677-98d9-f25f99898a99">
      <Terms xmlns="http://schemas.microsoft.com/office/infopath/2007/PartnerControls"/>
    </lcf76f155ced4ddcb4097134ff3c332f>
    <TaxCatchAll xmlns="1ea7d379-df84-40f7-8d06-374b7b13cb98" xsi:nil="true"/>
  </documentManagement>
</p:properties>
</file>

<file path=customXml/itemProps1.xml><?xml version="1.0" encoding="utf-8"?>
<ds:datastoreItem xmlns:ds="http://schemas.openxmlformats.org/officeDocument/2006/customXml" ds:itemID="{7DCB25EF-2EA7-4C6F-83F9-015494B5BE3D}">
  <ds:schemaRefs>
    <ds:schemaRef ds:uri="http://schemas.microsoft.com/sharepoint/v3/contenttype/forms"/>
  </ds:schemaRefs>
</ds:datastoreItem>
</file>

<file path=customXml/itemProps2.xml><?xml version="1.0" encoding="utf-8"?>
<ds:datastoreItem xmlns:ds="http://schemas.openxmlformats.org/officeDocument/2006/customXml" ds:itemID="{0FD9E1E6-D6D2-454C-8EDD-2E0F29482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7d379-df84-40f7-8d06-374b7b13cb98"/>
    <ds:schemaRef ds:uri="e5cddba6-378a-4677-98d9-f25f99898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4C3F37-6D93-42B5-ADF4-20EEF0890C9A}">
  <ds:schemaRefs>
    <ds:schemaRef ds:uri="http://schemas.openxmlformats.org/officeDocument/2006/bibliography"/>
  </ds:schemaRefs>
</ds:datastoreItem>
</file>

<file path=customXml/itemProps4.xml><?xml version="1.0" encoding="utf-8"?>
<ds:datastoreItem xmlns:ds="http://schemas.openxmlformats.org/officeDocument/2006/customXml" ds:itemID="{A1BB1117-C6B5-401F-AA73-1D568C3C9F99}">
  <ds:schemaRefs>
    <ds:schemaRef ds:uri="http://purl.org/dc/terms/"/>
    <ds:schemaRef ds:uri="1ea7d379-df84-40f7-8d06-374b7b13cb98"/>
    <ds:schemaRef ds:uri="http://www.w3.org/XML/1998/namespace"/>
    <ds:schemaRef ds:uri="http://purl.org/dc/elements/1.1/"/>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e5cddba6-378a-4677-98d9-f25f99898a9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106</Pages>
  <Words>29714</Words>
  <Characters>169371</Characters>
  <Application>Microsoft Office Word</Application>
  <DocSecurity>0</DocSecurity>
  <Lines>1411</Lines>
  <Paragraphs>397</Paragraphs>
  <ScaleCrop>false</ScaleCrop>
  <Company/>
  <LinksUpToDate>false</LinksUpToDate>
  <CharactersWithSpaces>198688</CharactersWithSpaces>
  <SharedDoc>false</SharedDoc>
  <HLinks>
    <vt:vector size="18" baseType="variant">
      <vt:variant>
        <vt:i4>3735636</vt:i4>
      </vt:variant>
      <vt:variant>
        <vt:i4>240</vt:i4>
      </vt:variant>
      <vt:variant>
        <vt:i4>0</vt:i4>
      </vt:variant>
      <vt:variant>
        <vt:i4>5</vt:i4>
      </vt:variant>
      <vt:variant>
        <vt:lpwstr>mailto:stefan.cristea@pgn.com</vt:lpwstr>
      </vt:variant>
      <vt:variant>
        <vt:lpwstr/>
      </vt:variant>
      <vt:variant>
        <vt:i4>2293833</vt:i4>
      </vt:variant>
      <vt:variant>
        <vt:i4>237</vt:i4>
      </vt:variant>
      <vt:variant>
        <vt:i4>0</vt:i4>
      </vt:variant>
      <vt:variant>
        <vt:i4>5</vt:i4>
      </vt:variant>
      <vt:variant>
        <vt:lpwstr>https://www.westernpowerpool.org/comments/change_requests/western-resource-adequacy-program</vt:lpwstr>
      </vt:variant>
      <vt:variant>
        <vt:lpwstr/>
      </vt:variant>
      <vt:variant>
        <vt:i4>131117</vt:i4>
      </vt:variant>
      <vt:variant>
        <vt:i4>234</vt:i4>
      </vt:variant>
      <vt:variant>
        <vt:i4>0</vt:i4>
      </vt:variant>
      <vt:variant>
        <vt:i4>5</vt:i4>
      </vt:variant>
      <vt:variant>
        <vt:lpwstr>https://www.westernpowerpool.org/comments/change_requests/19/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O'Brien (WPP)</dc:creator>
  <cp:keywords/>
  <dc:description/>
  <cp:lastModifiedBy>Michael O'Brien (WPP)</cp:lastModifiedBy>
  <cp:revision>2</cp:revision>
  <cp:lastPrinted>2025-03-14T18:35:00Z</cp:lastPrinted>
  <dcterms:created xsi:type="dcterms:W3CDTF">2025-07-15T22:48:00Z</dcterms:created>
  <dcterms:modified xsi:type="dcterms:W3CDTF">2025-07-15T22:48:00Z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0x010100BA690AF60121CF4CAE73D966E2D9F67D</vt:lpwstr>
  </property>
  <property fmtid="{D5CDD505-2E9C-101B-9397-08002B2CF9AE}" pid="3" name="MediaServiceImageTags">
    <vt:lpwstr/>
  </property>
</Properties>
</file>